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highlight w:val="yellow"/>
          <w:lang w:val="en-US" w:eastAsia="zh-CN"/>
        </w:rPr>
      </w:pPr>
      <w:bookmarkStart w:id="0" w:name="_Hlk114691757"/>
      <w:bookmarkEnd w:id="0"/>
      <w:bookmarkStart w:id="1" w:name="_Hlk188351285"/>
      <w:bookmarkStart w:id="2" w:name="OLE_LINK12"/>
      <w:bookmarkStart w:id="3" w:name="OLE_LINK13"/>
      <w:bookmarkStart w:id="4" w:name="OLE_LINK33"/>
      <w:bookmarkStart w:id="5" w:name="OLE_LINK34"/>
      <w:bookmarkStart w:id="6" w:name="OLE_LINK24"/>
      <w:r>
        <w:rPr>
          <w:b/>
        </w:rPr>
        <w:t xml:space="preserve">3GPP TSG RAN WG1 #120                                    </w:t>
      </w:r>
      <w:r>
        <w:rPr>
          <w:rFonts w:hint="eastAsia"/>
          <w:b/>
          <w:highlight w:val="none"/>
        </w:rPr>
        <w:t xml:space="preserve"> </w:t>
      </w:r>
      <w:r>
        <w:rPr>
          <w:b/>
          <w:highlight w:val="none"/>
        </w:rPr>
        <w:t xml:space="preserve">   </w:t>
      </w:r>
      <w:r>
        <w:rPr>
          <w:rFonts w:hint="eastAsia"/>
          <w:b/>
          <w:highlight w:val="none"/>
        </w:rPr>
        <w:t>R1-2</w:t>
      </w:r>
      <w:r>
        <w:rPr>
          <w:b/>
          <w:highlight w:val="none"/>
        </w:rPr>
        <w:t>5</w:t>
      </w:r>
      <w:r>
        <w:rPr>
          <w:rFonts w:hint="eastAsia"/>
          <w:b/>
          <w:highlight w:val="none"/>
          <w:lang w:val="en-US" w:eastAsia="zh-CN"/>
        </w:rPr>
        <w:t>00312</w:t>
      </w:r>
    </w:p>
    <w:p>
      <w:pPr>
        <w:tabs>
          <w:tab w:val="center" w:pos="4536"/>
          <w:tab w:val="right" w:pos="8280"/>
          <w:tab w:val="right" w:pos="9639"/>
        </w:tabs>
        <w:snapToGrid w:val="0"/>
        <w:ind w:left="482" w:right="2" w:hanging="482" w:hangingChars="200"/>
        <w:jc w:val="both"/>
        <w:rPr>
          <w:b/>
          <w:lang w:bidi="ar"/>
        </w:rPr>
      </w:pPr>
      <w:bookmarkStart w:id="7" w:name="_Hlk188351307"/>
      <w:r>
        <w:rPr>
          <w:b/>
          <w:lang w:bidi="ar"/>
        </w:rPr>
        <w:t>Athens, Greece, February 17</w:t>
      </w:r>
      <w:r>
        <w:rPr>
          <w:rFonts w:hint="eastAsia"/>
          <w:b/>
          <w:vertAlign w:val="superscript"/>
          <w:lang w:val="en-US" w:eastAsia="zh-CN" w:bidi="ar"/>
        </w:rPr>
        <w:t>th</w:t>
      </w:r>
      <w:r>
        <w:rPr>
          <w:b/>
          <w:lang w:bidi="ar"/>
        </w:rPr>
        <w:t xml:space="preserve"> – 21</w:t>
      </w:r>
      <w:r>
        <w:rPr>
          <w:rFonts w:hint="eastAsia"/>
          <w:b/>
          <w:vertAlign w:val="superscript"/>
          <w:lang w:val="en-US" w:eastAsia="zh-CN" w:bidi="ar"/>
        </w:rPr>
        <w:t>st</w:t>
      </w:r>
      <w:r>
        <w:rPr>
          <w:b/>
          <w:lang w:bidi="ar"/>
        </w:rPr>
        <w:t>, 2025</w:t>
      </w:r>
      <w:bookmarkEnd w:id="7"/>
    </w:p>
    <w:bookmarkEnd w:id="1"/>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rFonts w:hint="eastAsia" w:eastAsia="宋体"/>
          <w:b/>
          <w:highlight w:val="none"/>
          <w:lang w:val="en-US" w:eastAsia="zh-CN"/>
        </w:rPr>
      </w:pPr>
      <w:r>
        <w:rPr>
          <w:b/>
          <w:highlight w:val="none"/>
        </w:rPr>
        <w:t>Source:</w:t>
      </w:r>
      <w:r>
        <w:rPr>
          <w:b/>
          <w:highlight w:val="none"/>
        </w:rPr>
        <w:tab/>
      </w:r>
      <w:r>
        <w:rPr>
          <w:rFonts w:hint="eastAsia"/>
          <w:b/>
          <w:highlight w:val="none"/>
          <w:lang w:val="en-US" w:eastAsia="zh-CN"/>
        </w:rPr>
        <w:t>CALTTA</w:t>
      </w:r>
    </w:p>
    <w:p>
      <w:pPr>
        <w:pBdr>
          <w:bottom w:val="single" w:color="auto" w:sz="6" w:space="1"/>
        </w:pBdr>
        <w:snapToGrid w:val="0"/>
        <w:ind w:left="1797" w:hanging="1797"/>
        <w:jc w:val="both"/>
        <w:rPr>
          <w:b/>
          <w:highlight w:val="none"/>
        </w:rPr>
      </w:pPr>
      <w:r>
        <w:rPr>
          <w:b/>
          <w:highlight w:val="none"/>
        </w:rPr>
        <w:t>Title:</w:t>
      </w:r>
      <w:r>
        <w:rPr>
          <w:b/>
          <w:highlight w:val="none"/>
        </w:rPr>
        <w:tab/>
      </w:r>
      <w:r>
        <w:rPr>
          <w:rFonts w:hint="eastAsia"/>
          <w:b/>
          <w:highlight w:val="none"/>
        </w:rPr>
        <w:t>Discussion on ISAC scenario</w:t>
      </w:r>
    </w:p>
    <w:p>
      <w:pPr>
        <w:pBdr>
          <w:bottom w:val="single" w:color="auto" w:sz="6" w:space="1"/>
        </w:pBdr>
        <w:snapToGrid w:val="0"/>
        <w:ind w:left="1797" w:hanging="1797"/>
        <w:jc w:val="both"/>
        <w:rPr>
          <w:b/>
        </w:rPr>
      </w:pPr>
      <w:r>
        <w:rPr>
          <w:b/>
        </w:rPr>
        <w:t>Agenda item:</w:t>
      </w:r>
      <w:r>
        <w:rPr>
          <w:b/>
        </w:rPr>
        <w:tab/>
      </w:r>
      <w:r>
        <w:rPr>
          <w:b/>
        </w:rPr>
        <w:t>9.7.1</w:t>
      </w:r>
      <w:bookmarkStart w:id="11" w:name="_GoBack"/>
      <w:bookmarkEnd w:id="11"/>
    </w:p>
    <w:p>
      <w:pPr>
        <w:pBdr>
          <w:bottom w:val="single" w:color="auto" w:sz="6" w:space="1"/>
        </w:pBdr>
        <w:snapToGrid w:val="0"/>
        <w:ind w:left="1797" w:hanging="1797"/>
        <w:jc w:val="both"/>
        <w:rPr>
          <w:b/>
        </w:rPr>
      </w:pPr>
      <w:r>
        <w:rPr>
          <w:b/>
        </w:rPr>
        <w:t>Document for:</w:t>
      </w:r>
      <w:r>
        <w:rPr>
          <w:b/>
        </w:rPr>
        <w:tab/>
      </w:r>
      <w:r>
        <w:rPr>
          <w:b/>
        </w:rPr>
        <w:t>Discussion and Decision</w:t>
      </w:r>
    </w:p>
    <w:bookmarkEnd w:id="2"/>
    <w:bookmarkEnd w:id="3"/>
    <w:bookmarkEnd w:id="4"/>
    <w:bookmarkEnd w:id="5"/>
    <w:bookmarkEnd w:id="6"/>
    <w:p>
      <w:pPr>
        <w:pStyle w:val="2"/>
        <w:snapToGrid w:val="0"/>
        <w:spacing w:before="120" w:after="180" w:afterLines="50"/>
        <w:ind w:left="431" w:hanging="431"/>
        <w:jc w:val="both"/>
        <w:rPr>
          <w:sz w:val="28"/>
          <w:lang w:val="en-US"/>
        </w:rPr>
      </w:pPr>
      <w:bookmarkStart w:id="8" w:name="OLE_LINK1"/>
      <w:r>
        <w:rPr>
          <w:sz w:val="28"/>
          <w:lang w:val="en-US"/>
        </w:rPr>
        <w:t>Introduction</w:t>
      </w:r>
    </w:p>
    <w:p>
      <w:pPr>
        <w:snapToGrid w:val="0"/>
        <w:spacing w:before="180" w:beforeLines="50" w:after="180" w:afterLines="50"/>
        <w:jc w:val="both"/>
        <w:rPr>
          <w:iCs/>
          <w:sz w:val="20"/>
          <w:szCs w:val="20"/>
        </w:rPr>
      </w:pPr>
      <w:r>
        <w:rPr>
          <w:rFonts w:hint="eastAsia"/>
          <w:iCs/>
          <w:sz w:val="20"/>
          <w:szCs w:val="20"/>
        </w:rPr>
        <w:t>I</w:t>
      </w:r>
      <w:r>
        <w:rPr>
          <w:iCs/>
          <w:sz w:val="20"/>
          <w:szCs w:val="20"/>
        </w:rPr>
        <w:t>n RAN#102 meeting, the following SID [1] on channel modelling for Integrated Sensing And Communication (ISAC) was agreed: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bCs/>
                <w:sz w:val="20"/>
              </w:rPr>
            </w:pPr>
            <w:r>
              <w:rPr>
                <w:bCs/>
                <w:sz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pPr>
              <w:numPr>
                <w:ilvl w:val="0"/>
                <w:numId w:val="3"/>
              </w:numPr>
              <w:overflowPunct w:val="0"/>
              <w:autoSpaceDE w:val="0"/>
              <w:autoSpaceDN w:val="0"/>
              <w:adjustRightInd w:val="0"/>
              <w:snapToGrid w:val="0"/>
              <w:textAlignment w:val="baseline"/>
              <w:rPr>
                <w:bCs/>
                <w:sz w:val="20"/>
              </w:rPr>
            </w:pPr>
            <w:r>
              <w:rPr>
                <w:bCs/>
                <w:sz w:val="20"/>
              </w:rPr>
              <w:t>UAVs</w:t>
            </w:r>
          </w:p>
          <w:p>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pPr>
              <w:numPr>
                <w:ilvl w:val="0"/>
                <w:numId w:val="3"/>
              </w:numPr>
              <w:overflowPunct w:val="0"/>
              <w:autoSpaceDE w:val="0"/>
              <w:autoSpaceDN w:val="0"/>
              <w:adjustRightInd w:val="0"/>
              <w:snapToGrid w:val="0"/>
              <w:textAlignment w:val="baseline"/>
              <w:rPr>
                <w:bCs/>
                <w:sz w:val="20"/>
              </w:rPr>
            </w:pPr>
            <w:r>
              <w:rPr>
                <w:bCs/>
                <w:sz w:val="20"/>
              </w:rPr>
              <w:t>Automotive vehicles (at least outdoors)</w:t>
            </w:r>
          </w:p>
          <w:p>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pPr>
              <w:snapToGrid w:val="0"/>
              <w:rPr>
                <w:bCs/>
                <w:sz w:val="20"/>
              </w:rPr>
            </w:pPr>
          </w:p>
          <w:p>
            <w:pPr>
              <w:snapToGrid w:val="0"/>
              <w:rPr>
                <w:bCs/>
                <w:sz w:val="20"/>
              </w:rPr>
            </w:pPr>
            <w:r>
              <w:rPr>
                <w:bCs/>
                <w:sz w:val="20"/>
              </w:rPr>
              <w:t xml:space="preserve">All six sensing modes should be considered (i.e. TRP-TRP bistatic, TRP monostatic, TRP-UE bistatic, UE-TRP bistatic, UE-UE bistatic, UE monostatic). </w:t>
            </w:r>
          </w:p>
          <w:p>
            <w:pPr>
              <w:snapToGrid w:val="0"/>
              <w:rPr>
                <w:bCs/>
                <w:sz w:val="20"/>
              </w:rPr>
            </w:pPr>
          </w:p>
          <w:p>
            <w:pPr>
              <w:snapToGrid w:val="0"/>
              <w:rPr>
                <w:bCs/>
                <w:sz w:val="20"/>
              </w:rPr>
            </w:pPr>
            <w:r>
              <w:rPr>
                <w:bCs/>
                <w:sz w:val="20"/>
              </w:rPr>
              <w:t>Frequencies from 0.5 to 52.6 GHz are the primary focus, with the assumption that the modelling approach should scale to 100 GHz. (If significant problems are identified with scaling above 52.6 GHz, the range above 52.6 GHz can be deprioritized.)</w:t>
            </w:r>
          </w:p>
          <w:p>
            <w:pPr>
              <w:snapToGrid w:val="0"/>
              <w:rPr>
                <w:bCs/>
                <w:sz w:val="20"/>
              </w:rPr>
            </w:pPr>
          </w:p>
          <w:p>
            <w:pPr>
              <w:snapToGrid w:val="0"/>
              <w:rPr>
                <w:bCs/>
                <w:sz w:val="20"/>
              </w:rPr>
            </w:pPr>
            <w:r>
              <w:rPr>
                <w:bCs/>
                <w:sz w:val="20"/>
              </w:rPr>
              <w:t>For the above use cases, sensing modes and frequencies:</w:t>
            </w:r>
          </w:p>
          <w:p>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 to the above use cases.</w:t>
            </w:r>
          </w:p>
          <w:p>
            <w:pPr>
              <w:numPr>
                <w:ilvl w:val="0"/>
                <w:numId w:val="4"/>
              </w:numPr>
              <w:overflowPunct w:val="0"/>
              <w:autoSpaceDE w:val="0"/>
              <w:autoSpaceDN w:val="0"/>
              <w:adjustRightInd w:val="0"/>
              <w:snapToGrid w:val="0"/>
              <w:textAlignment w:val="baseline"/>
              <w:rPr>
                <w:bCs/>
                <w:sz w:val="20"/>
              </w:rPr>
            </w:pPr>
            <w:r>
              <w:rPr>
                <w:bCs/>
                <w:sz w:val="20"/>
              </w:rPr>
              <w:t>Define channel modelling details for sensing using 38.901 as a starting point, and taking into account relevant measurements, including:</w:t>
            </w:r>
          </w:p>
          <w:p>
            <w:pPr>
              <w:numPr>
                <w:ilvl w:val="0"/>
                <w:numId w:val="5"/>
              </w:numPr>
              <w:overflowPunct w:val="0"/>
              <w:autoSpaceDE w:val="0"/>
              <w:autoSpaceDN w:val="0"/>
              <w:adjustRightInd w:val="0"/>
              <w:snapToGrid w:val="0"/>
              <w:textAlignment w:val="baseline"/>
              <w:rPr>
                <w:bCs/>
                <w:sz w:val="20"/>
              </w:rPr>
            </w:pPr>
            <w:r>
              <w:rPr>
                <w:bCs/>
                <w:sz w:val="20"/>
              </w:rPr>
              <w:t>modelling of sensing targets and background environment, including, for example (if needed by the above use cases), radar cross-section (RCS), mobility and clutter/scattering patterns;</w:t>
            </w:r>
          </w:p>
          <w:p>
            <w:pPr>
              <w:numPr>
                <w:ilvl w:val="0"/>
                <w:numId w:val="5"/>
              </w:numPr>
              <w:overflowPunct w:val="0"/>
              <w:autoSpaceDE w:val="0"/>
              <w:autoSpaceDN w:val="0"/>
              <w:adjustRightInd w:val="0"/>
              <w:snapToGrid w:val="0"/>
              <w:textAlignment w:val="baseline"/>
              <w:rPr>
                <w:bCs/>
                <w:sz w:val="20"/>
              </w:rPr>
            </w:pPr>
            <w:r>
              <w:rPr>
                <w:bCs/>
                <w:sz w:val="20"/>
              </w:rPr>
              <w:t>spatial consistency.</w:t>
            </w:r>
          </w:p>
          <w:p>
            <w:pPr>
              <w:snapToGrid w:val="0"/>
              <w:rPr>
                <w:bCs/>
                <w:sz w:val="20"/>
              </w:rPr>
            </w:pPr>
          </w:p>
          <w:p>
            <w:pPr>
              <w:snapToGrid w:val="0"/>
              <w:rPr>
                <w:bCs/>
                <w:sz w:val="20"/>
              </w:rPr>
            </w:pPr>
            <w:r>
              <w:rPr>
                <w:bCs/>
                <w:sz w:val="20"/>
              </w:rPr>
              <w:t>It will be discussed at RAN#105 whether to include additional study beyond channel modelling for ISAC.</w:t>
            </w:r>
          </w:p>
        </w:tc>
      </w:tr>
    </w:tbl>
    <w:p>
      <w:pPr>
        <w:snapToGrid w:val="0"/>
        <w:spacing w:before="180" w:beforeLines="50" w:after="180" w:afterLines="5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ISAC deployment scenarios.</w:t>
      </w:r>
    </w:p>
    <w:p>
      <w:pPr>
        <w:snapToGrid w:val="0"/>
        <w:spacing w:before="180" w:beforeLines="50" w:after="180" w:afterLines="50"/>
        <w:jc w:val="both"/>
        <w:rPr>
          <w:rFonts w:hint="eastAsia"/>
          <w:iCs/>
          <w:sz w:val="20"/>
          <w:szCs w:val="20"/>
        </w:rPr>
      </w:pPr>
    </w:p>
    <w:bookmarkEnd w:id="8"/>
    <w:p>
      <w:pPr>
        <w:pStyle w:val="2"/>
        <w:snapToGrid w:val="0"/>
        <w:spacing w:before="120" w:after="180" w:afterLines="50"/>
        <w:ind w:left="431" w:hanging="431"/>
        <w:jc w:val="both"/>
        <w:rPr>
          <w:sz w:val="28"/>
          <w:lang w:val="en-US"/>
        </w:rPr>
      </w:pPr>
      <w:r>
        <w:rPr>
          <w:sz w:val="28"/>
          <w:lang w:val="en-US"/>
        </w:rPr>
        <w:t>Discussion</w:t>
      </w:r>
    </w:p>
    <w:p>
      <w:pPr>
        <w:snapToGrid w:val="0"/>
        <w:spacing w:after="180" w:afterLines="50"/>
        <w:jc w:val="both"/>
        <w:rPr>
          <w:rFonts w:hint="default" w:eastAsia="宋体"/>
          <w:iCs/>
          <w:sz w:val="20"/>
          <w:lang w:val="en-US" w:eastAsia="zh-CN"/>
        </w:rPr>
      </w:pPr>
      <w:r>
        <w:rPr>
          <w:rFonts w:hint="eastAsia"/>
          <w:iCs/>
          <w:sz w:val="20"/>
          <w:lang w:val="en-US" w:eastAsia="zh-CN"/>
        </w:rPr>
        <w:t>In the email-discussion, the following proposals have been concluded for ISAC channel model calibration: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180" w:afterLines="50"/>
              <w:jc w:val="both"/>
              <w:rPr>
                <w:b/>
                <w:iCs/>
                <w:sz w:val="20"/>
                <w:lang w:val="en-GB"/>
              </w:rPr>
            </w:pPr>
            <w:r>
              <w:rPr>
                <w:rFonts w:hint="eastAsia"/>
                <w:b/>
                <w:iCs/>
                <w:sz w:val="20"/>
                <w:lang w:val="en-GB"/>
              </w:rPr>
              <w:t>R</w:t>
            </w:r>
            <w:r>
              <w:rPr>
                <w:b/>
                <w:iCs/>
                <w:sz w:val="20"/>
                <w:lang w:val="en-GB"/>
              </w:rPr>
              <w:t xml:space="preserve">1-2500059 </w:t>
            </w:r>
            <w:r>
              <w:rPr>
                <w:rFonts w:hint="eastAsia"/>
                <w:b/>
                <w:iCs/>
                <w:sz w:val="20"/>
                <w:lang w:val="en-GB"/>
              </w:rPr>
              <w:t>[</w:t>
            </w:r>
            <w:r>
              <w:rPr>
                <w:b/>
                <w:iCs/>
                <w:sz w:val="20"/>
                <w:lang w:val="en-GB"/>
              </w:rPr>
              <w:t>4]</w:t>
            </w:r>
          </w:p>
          <w:p>
            <w:pPr>
              <w:pStyle w:val="122"/>
              <w:snapToGrid w:val="0"/>
              <w:rPr>
                <w:bCs/>
                <w:sz w:val="24"/>
                <w:szCs w:val="24"/>
              </w:rPr>
            </w:pPr>
            <w:bookmarkStart w:id="9" w:name="_Hlk188437626"/>
            <w:r>
              <w:rPr>
                <w:b/>
                <w:bCs/>
                <w:u w:val="single"/>
              </w:rPr>
              <w:t>Topic 4-1</w:t>
            </w:r>
            <w:bookmarkEnd w:id="9"/>
            <w:r>
              <w:rPr>
                <w:b/>
                <w:bCs/>
                <w:u w:val="single"/>
              </w:rPr>
              <w:t xml:space="preserve">: </w:t>
            </w:r>
            <w:r>
              <w:rPr>
                <w:bCs/>
              </w:rPr>
              <w:t xml:space="preserve">The following high-level channel model calibration proposals have been discussed during [Post-119-ISAC-01]  to progress the ISAC channel modelling: </w:t>
            </w:r>
          </w:p>
          <w:p>
            <w:pPr>
              <w:pStyle w:val="122"/>
              <w:numPr>
                <w:ilvl w:val="0"/>
                <w:numId w:val="6"/>
              </w:numPr>
              <w:suppressAutoHyphens/>
              <w:snapToGrid w:val="0"/>
              <w:rPr>
                <w:bCs/>
              </w:rPr>
            </w:pPr>
            <w:r>
              <w:rPr>
                <w:bCs/>
              </w:rPr>
              <w:t>RAN1 should discuss and down-select between two general options for the methodology for channel model calibration:</w:t>
            </w:r>
          </w:p>
          <w:p>
            <w:pPr>
              <w:pStyle w:val="122"/>
              <w:numPr>
                <w:ilvl w:val="2"/>
                <w:numId w:val="6"/>
              </w:numPr>
              <w:suppressAutoHyphens/>
              <w:snapToGrid w:val="0"/>
              <w:ind w:left="1440" w:hanging="480"/>
              <w:rPr>
                <w:bCs/>
              </w:rPr>
            </w:pPr>
            <w:r>
              <w:rPr>
                <w:bCs/>
              </w:rPr>
              <w:t xml:space="preserve">OPTION 1: </w:t>
            </w:r>
            <w:bookmarkStart w:id="10" w:name="_Hlk188372332"/>
            <w:r>
              <w:rPr>
                <w:bCs/>
              </w:rPr>
              <w:t>Similar to the stochastic communication channel model calibration approach in TR 38.901 for ISAC channel modelling</w:t>
            </w:r>
            <w:bookmarkEnd w:id="10"/>
            <w:r>
              <w:rPr>
                <w:bCs/>
              </w:rPr>
              <w:t>, which includes parameters and tables for at least the following: large scale parameters, where fast fading is not included and full calibration, which includes fast fading (attached tables for some details).</w:t>
            </w:r>
          </w:p>
          <w:p>
            <w:pPr>
              <w:pStyle w:val="122"/>
              <w:numPr>
                <w:ilvl w:val="2"/>
                <w:numId w:val="6"/>
              </w:numPr>
              <w:suppressAutoHyphens/>
              <w:snapToGrid w:val="0"/>
              <w:ind w:left="1440" w:hanging="480"/>
              <w:rPr>
                <w:bCs/>
              </w:rPr>
            </w:pPr>
            <w:r>
              <w:rPr>
                <w:bCs/>
              </w:rPr>
              <w:t xml:space="preserve">OPTION 2: </w:t>
            </w:r>
            <w:r>
              <w:rPr>
                <w:rFonts w:eastAsia="等线"/>
                <w:iCs/>
              </w:rPr>
              <w:t>A step-wise approach for the ISAC channel model calibration simulations which consists of deterministic models for the Tx/Rx-target channels, background channels and combination of the target/background channels, e.g., CDL models limited to channel metrics based on received power and multipath/delay/angular spread.</w:t>
            </w:r>
            <w:r>
              <w:rPr>
                <w:bCs/>
              </w:rPr>
              <w:t xml:space="preserve"> </w:t>
            </w:r>
          </w:p>
          <w:p>
            <w:pPr>
              <w:pStyle w:val="122"/>
              <w:numPr>
                <w:ilvl w:val="2"/>
                <w:numId w:val="6"/>
              </w:numPr>
              <w:suppressAutoHyphens/>
              <w:snapToGrid w:val="0"/>
              <w:ind w:left="1440" w:hanging="480"/>
              <w:rPr>
                <w:bCs/>
              </w:rPr>
            </w:pPr>
            <w:r>
              <w:rPr>
                <w:bCs/>
              </w:rPr>
              <w:t>NOTE1: Companies are encouraged to provide justification and proposals for either Option 1 or Option 2.</w:t>
            </w:r>
          </w:p>
          <w:p>
            <w:pPr>
              <w:pStyle w:val="122"/>
              <w:numPr>
                <w:ilvl w:val="0"/>
                <w:numId w:val="6"/>
              </w:numPr>
              <w:suppressAutoHyphens/>
              <w:snapToGrid w:val="0"/>
              <w:rPr>
                <w:bCs/>
              </w:rPr>
            </w:pPr>
            <w:r>
              <w:rPr>
                <w:bCs/>
              </w:rPr>
              <w:t>All 5 sensing target types identified in the SID should be represented in new ISAC channel model calibration clause(s). Note: This does not preclude including calibration assumptions for more than one sensing target into the same table(s).</w:t>
            </w:r>
          </w:p>
          <w:p>
            <w:pPr>
              <w:pStyle w:val="122"/>
              <w:numPr>
                <w:ilvl w:val="4"/>
                <w:numId w:val="7"/>
              </w:numPr>
              <w:suppressAutoHyphens/>
              <w:snapToGrid w:val="0"/>
              <w:ind w:left="1440" w:hanging="480"/>
              <w:rPr>
                <w:bCs/>
              </w:rPr>
            </w:pPr>
            <w:r>
              <w:rPr>
                <w:bCs/>
              </w:rPr>
              <w:t>TR 38.901 Running CR details for how and where to capture CM calibration are to be determined at RAN1#120, e.g., new ISAC-specific sub-sections, annex, reference, etc.</w:t>
            </w:r>
          </w:p>
          <w:p>
            <w:pPr>
              <w:pStyle w:val="122"/>
              <w:numPr>
                <w:ilvl w:val="0"/>
                <w:numId w:val="6"/>
              </w:numPr>
              <w:suppressAutoHyphens/>
              <w:snapToGrid w:val="0"/>
              <w:rPr>
                <w:bCs/>
              </w:rPr>
            </w:pPr>
            <w:r>
              <w:rPr>
                <w:bCs/>
              </w:rPr>
              <w:t>Additional guiding principles for defining calibration assumptions to be further discussed:</w:t>
            </w:r>
          </w:p>
          <w:p>
            <w:pPr>
              <w:pStyle w:val="122"/>
              <w:numPr>
                <w:ilvl w:val="4"/>
                <w:numId w:val="7"/>
              </w:numPr>
              <w:suppressAutoHyphens/>
              <w:snapToGrid w:val="0"/>
              <w:ind w:left="1440" w:hanging="480"/>
              <w:rPr>
                <w:bCs/>
              </w:rPr>
            </w:pPr>
            <w:r>
              <w:rPr>
                <w:bCs/>
              </w:rPr>
              <w:t>Calibration assumptions should consider only parameters necessary to align implementations of the ISAC channel model, including target channel and background channel.</w:t>
            </w:r>
          </w:p>
          <w:p>
            <w:pPr>
              <w:pStyle w:val="122"/>
              <w:numPr>
                <w:ilvl w:val="5"/>
                <w:numId w:val="7"/>
              </w:numPr>
              <w:suppressAutoHyphens/>
              <w:snapToGrid w:val="0"/>
              <w:ind w:left="1440" w:hanging="480"/>
              <w:rPr>
                <w:bCs/>
              </w:rPr>
            </w:pPr>
            <w:r>
              <w:rPr>
                <w:rFonts w:eastAsia="等线"/>
                <w:iCs/>
              </w:rPr>
              <w:t>CM Calibration should allow for using a single Tx and a single Rx</w:t>
            </w:r>
            <w:r>
              <w:rPr>
                <w:bCs/>
              </w:rPr>
              <w:t xml:space="preserve"> </w:t>
            </w:r>
          </w:p>
          <w:p>
            <w:pPr>
              <w:pStyle w:val="122"/>
              <w:numPr>
                <w:ilvl w:val="4"/>
                <w:numId w:val="7"/>
              </w:numPr>
              <w:suppressAutoHyphens/>
              <w:snapToGrid w:val="0"/>
              <w:ind w:left="1440" w:hanging="480"/>
              <w:rPr>
                <w:bCs/>
              </w:rPr>
            </w:pPr>
            <w:r>
              <w:rPr>
                <w:bCs/>
              </w:rPr>
              <w:t>Should consider implementations of the RCS and polarization models for the various sensing targets</w:t>
            </w:r>
          </w:p>
          <w:p>
            <w:pPr>
              <w:pStyle w:val="122"/>
              <w:numPr>
                <w:ilvl w:val="4"/>
                <w:numId w:val="7"/>
              </w:numPr>
              <w:suppressAutoHyphens/>
              <w:snapToGrid w:val="0"/>
              <w:ind w:left="1440" w:hanging="480"/>
              <w:rPr>
                <w:bCs/>
              </w:rPr>
            </w:pPr>
            <w:r>
              <w:rPr>
                <w:bCs/>
              </w:rPr>
              <w:t>With limited TUs, no explicit prioritization for the different sensing modes/scenarios is required, but can be implied based on company inputs, or lack thereof.</w:t>
            </w:r>
          </w:p>
          <w:p>
            <w:pPr>
              <w:pStyle w:val="122"/>
              <w:numPr>
                <w:ilvl w:val="4"/>
                <w:numId w:val="7"/>
              </w:numPr>
              <w:suppressAutoHyphens/>
              <w:snapToGrid w:val="0"/>
              <w:ind w:left="1440" w:hanging="480"/>
              <w:rPr>
                <w:bCs/>
              </w:rPr>
            </w:pPr>
            <w:r>
              <w:rPr>
                <w:bCs/>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pPr>
              <w:pStyle w:val="122"/>
              <w:numPr>
                <w:ilvl w:val="4"/>
                <w:numId w:val="7"/>
              </w:numPr>
              <w:suppressAutoHyphens/>
              <w:snapToGrid w:val="0"/>
              <w:ind w:left="1440" w:hanging="480"/>
              <w:rPr>
                <w:bCs/>
              </w:rPr>
            </w:pPr>
            <w:r>
              <w:rPr>
                <w:bCs/>
              </w:rPr>
              <w:t>Details on how to define calibration metrics are FFS, but some initial metrics can be included in the xls templates and companies are encouraged to provide further inputs to progress these aspects.</w:t>
            </w:r>
          </w:p>
          <w:p>
            <w:pPr>
              <w:pStyle w:val="122"/>
              <w:numPr>
                <w:ilvl w:val="4"/>
                <w:numId w:val="7"/>
              </w:numPr>
              <w:suppressAutoHyphens/>
              <w:snapToGrid w:val="0"/>
              <w:ind w:left="1440" w:hanging="480"/>
              <w:rPr>
                <w:bCs/>
              </w:rPr>
            </w:pPr>
            <w:r>
              <w:rPr>
                <w:bCs/>
              </w:rPr>
              <w:t xml:space="preserve">RAN1 to converge on parameters/values and related options if applicable, at RAN1#120. </w:t>
            </w:r>
          </w:p>
          <w:p>
            <w:pPr>
              <w:pStyle w:val="122"/>
              <w:snapToGrid w:val="0"/>
              <w:rPr>
                <w:sz w:val="24"/>
                <w:szCs w:val="24"/>
              </w:rPr>
            </w:pPr>
            <w:r>
              <w:rPr>
                <w:b/>
                <w:bCs/>
                <w:u w:val="single"/>
              </w:rPr>
              <w:t>Topic 4-2:</w:t>
            </w:r>
            <w:r>
              <w:t xml:space="preserve"> Interested companies provided some specific ISAC simulation assumptions/parameters, including values for the various sensing targets for large scale parameters and full calibration. </w:t>
            </w:r>
          </w:p>
          <w:p>
            <w:pPr>
              <w:pStyle w:val="122"/>
              <w:numPr>
                <w:ilvl w:val="0"/>
                <w:numId w:val="8"/>
              </w:numPr>
              <w:suppressAutoHyphens/>
              <w:snapToGrid w:val="0"/>
              <w:ind w:left="1440" w:hanging="480"/>
            </w:pPr>
            <w:r>
              <w:t xml:space="preserve">Attached spreadsheets may be used as a basis for additional tdoc submissions, consolidation, and alignment at RAN1#120 if the consensus is to move forward with the conventional stochastic approach. </w:t>
            </w:r>
          </w:p>
          <w:p>
            <w:pPr>
              <w:pStyle w:val="122"/>
              <w:numPr>
                <w:ilvl w:val="0"/>
                <w:numId w:val="8"/>
              </w:numPr>
              <w:suppressAutoHyphens/>
              <w:snapToGrid w:val="0"/>
              <w:ind w:left="1440" w:hanging="480"/>
              <w:rPr>
                <w:rFonts w:hint="eastAsia"/>
              </w:rPr>
            </w:pPr>
            <w:r>
              <w:t xml:space="preserve">The majority of companies responding to the </w:t>
            </w:r>
            <w:r>
              <w:rPr>
                <w:bCs/>
              </w:rPr>
              <w:t xml:space="preserve">[Post-119-ISAC-01] </w:t>
            </w:r>
            <w:r>
              <w:t>email discussion is supportive to calibrate spatial consistency. Details of the parameters for spatial consistency are FFS and should be further discussed at RAN1#120.</w:t>
            </w:r>
          </w:p>
        </w:tc>
      </w:tr>
    </w:tbl>
    <w:p>
      <w:pPr>
        <w:snapToGrid w:val="0"/>
        <w:spacing w:before="180" w:beforeLines="50" w:after="180" w:afterLines="50"/>
        <w:jc w:val="both"/>
        <w:rPr>
          <w:rFonts w:hint="eastAsia"/>
          <w:iCs/>
          <w:sz w:val="20"/>
        </w:rPr>
      </w:pPr>
      <w:r>
        <w:rPr>
          <w:rFonts w:hint="eastAsia"/>
          <w:iCs/>
          <w:sz w:val="20"/>
        </w:rPr>
        <w:t>We advocate for Option 1 regarding the methodology for ISAC channel model calibration, which aligns with the stochastic communication channel model calibration approach in TR 38.901. This option incorporates both large-scale calibration, which does not account for fast fading, and full calibration that includes fast fading, providing a comprehensive framework for modeling. The primary distinction between the ISAC and 38.901 communication channels is the way targets are modeled, specifically the Tx-target and target-Rx channels. As previously established, the radar cross-section (RCS) coefficient can be divided into two components: one included in large-scale calibration and the other in small-scale calibration, with the polarization of paths involving targets also addressed in the small-scale context.</w:t>
      </w:r>
    </w:p>
    <w:p>
      <w:pPr>
        <w:snapToGrid w:val="0"/>
        <w:spacing w:before="180" w:beforeLines="50" w:after="180" w:afterLines="50"/>
        <w:jc w:val="both"/>
        <w:rPr>
          <w:rFonts w:hint="eastAsia"/>
          <w:iCs/>
          <w:sz w:val="20"/>
        </w:rPr>
      </w:pPr>
      <w:r>
        <w:rPr>
          <w:rFonts w:hint="eastAsia"/>
          <w:iCs/>
          <w:sz w:val="20"/>
        </w:rPr>
        <w:t>In contrast, relying on deterministic models, such as CDL models, for ISAC channel calibration could lead to an oversimplified understanding of channel characteristics, potentially overlooking critical elements like the "B2" component of RCS. Currently, TR 38.901 fixes the delay and power of each cluster using deterministic angle pairs (AOD, AOA, ZOD, ZOA), while the B2 component is derived from a distribution influenced by incident and scattered angles. The challenge of calibrating the target channel with a deterministic model further highlights the limitations of this approach.</w:t>
      </w:r>
    </w:p>
    <w:p>
      <w:pPr>
        <w:snapToGrid w:val="0"/>
        <w:spacing w:before="180" w:beforeLines="50" w:after="180" w:afterLines="50"/>
        <w:jc w:val="both"/>
        <w:rPr>
          <w:rFonts w:hint="eastAsia"/>
          <w:iCs/>
          <w:sz w:val="20"/>
        </w:rPr>
      </w:pPr>
      <w:r>
        <w:rPr>
          <w:rFonts w:hint="eastAsia"/>
          <w:iCs/>
          <w:sz w:val="20"/>
        </w:rPr>
        <w:t>Moreover, adopting Option 1 is essential for ensuring compatibility with future standards, such as the integration of sensing and communication in 6G, rather than focusing solely on sensing. This option also facilitates easier validation against real-world measurements. For these reasons, we strongly support Option 1 for ISAC channel model calibration, as it provides a more robust and adaptable framework.</w:t>
      </w:r>
    </w:p>
    <w:p>
      <w:pPr>
        <w:snapToGrid w:val="0"/>
        <w:spacing w:before="180" w:beforeLines="50" w:after="180" w:afterLines="50"/>
        <w:jc w:val="both"/>
        <w:rPr>
          <w:rFonts w:hint="eastAsia"/>
          <w:b/>
          <w:i/>
          <w:iCs/>
          <w:sz w:val="20"/>
          <w:lang w:val="en-US" w:eastAsia="zh-CN"/>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1</w:t>
      </w:r>
      <w:r>
        <w:rPr>
          <w:b/>
          <w:iCs/>
          <w:sz w:val="20"/>
        </w:rPr>
        <w:fldChar w:fldCharType="end"/>
      </w:r>
      <w:r>
        <w:rPr>
          <w:rFonts w:hint="eastAsia"/>
          <w:b/>
          <w:i/>
          <w:iCs/>
          <w:sz w:val="20"/>
        </w:rPr>
        <w:t xml:space="preserve">: </w:t>
      </w:r>
      <w:r>
        <w:rPr>
          <w:rFonts w:hint="eastAsia"/>
          <w:b/>
          <w:i/>
          <w:iCs/>
          <w:sz w:val="20"/>
          <w:lang w:val="en-US" w:eastAsia="zh-CN"/>
        </w:rPr>
        <w:t>For ISAC channel model calibration, Option 1 is supported.</w:t>
      </w:r>
    </w:p>
    <w:p>
      <w:pPr>
        <w:numPr>
          <w:ilvl w:val="0"/>
          <w:numId w:val="9"/>
        </w:numPr>
        <w:snapToGrid w:val="0"/>
        <w:spacing w:before="180" w:beforeLines="50" w:after="180" w:afterLines="50"/>
        <w:ind w:left="840" w:leftChars="0" w:hanging="420" w:firstLineChars="0"/>
        <w:jc w:val="both"/>
        <w:rPr>
          <w:rFonts w:hint="default"/>
          <w:b/>
          <w:i/>
          <w:iCs/>
          <w:sz w:val="20"/>
          <w:lang w:val="en-US" w:eastAsia="zh-CN"/>
        </w:rPr>
      </w:pPr>
      <w:r>
        <w:rPr>
          <w:rFonts w:hint="default"/>
          <w:b/>
          <w:i/>
          <w:iCs/>
          <w:sz w:val="20"/>
          <w:lang w:val="en-US" w:eastAsia="zh-CN"/>
        </w:rPr>
        <w:t>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w:t>
      </w:r>
      <w:r>
        <w:rPr>
          <w:rFonts w:hint="eastAsia"/>
          <w:b/>
          <w:i/>
          <w:iCs/>
          <w:sz w:val="20"/>
          <w:lang w:val="en-US" w:eastAsia="zh-CN"/>
        </w:rPr>
        <w:t>.</w:t>
      </w:r>
    </w:p>
    <w:p>
      <w:pPr>
        <w:snapToGrid w:val="0"/>
        <w:spacing w:after="180" w:afterLines="50"/>
        <w:jc w:val="both"/>
        <w:rPr>
          <w:rFonts w:hint="eastAsia"/>
          <w:iCs/>
          <w:sz w:val="20"/>
        </w:rPr>
      </w:pPr>
    </w:p>
    <w:p>
      <w:pPr>
        <w:snapToGrid w:val="0"/>
        <w:spacing w:after="180" w:afterLines="50"/>
        <w:jc w:val="both"/>
        <w:rPr>
          <w:rFonts w:hint="eastAsia"/>
          <w:iCs/>
          <w:sz w:val="20"/>
          <w:lang w:val="en-US" w:eastAsia="zh-CN"/>
        </w:rPr>
      </w:pPr>
      <w:r>
        <w:rPr>
          <w:rFonts w:hint="eastAsia"/>
          <w:iCs/>
          <w:sz w:val="20"/>
          <w:lang w:val="en-US" w:eastAsia="zh-CN"/>
        </w:rPr>
        <w:t xml:space="preserve">Considering there are various sensing scenarios and sensing targets with several sensing modes, the workload for channel model calibration is huge. So the calibration can be performed for the most interested sensing scenarios and sensing targets with the corresponding sensing modes. In our view, the sensing targets of UAV and vehicle at least can be calibrated. </w:t>
      </w:r>
    </w:p>
    <w:p>
      <w:pPr>
        <w:snapToGrid w:val="0"/>
        <w:spacing w:before="180" w:beforeLines="50" w:after="180" w:afterLines="50"/>
        <w:jc w:val="both"/>
        <w:rPr>
          <w:rFonts w:hint="eastAsia"/>
          <w:b/>
          <w:i/>
          <w:iCs/>
          <w:sz w:val="20"/>
          <w:lang w:val="en-US" w:eastAsia="zh-CN"/>
        </w:rPr>
      </w:pPr>
      <w:r>
        <w:rPr>
          <w:b/>
          <w:i/>
          <w:iCs/>
          <w:sz w:val="20"/>
        </w:rPr>
        <w:t xml:space="preserve">Proposal </w:t>
      </w:r>
      <w:r>
        <w:rPr>
          <w:rFonts w:hint="eastAsia"/>
          <w:b/>
          <w:i/>
          <w:iCs/>
          <w:sz w:val="20"/>
          <w:lang w:val="en-US" w:eastAsia="zh-CN"/>
        </w:rPr>
        <w:t>2</w:t>
      </w:r>
      <w:r>
        <w:rPr>
          <w:rFonts w:hint="eastAsia"/>
          <w:b/>
          <w:i/>
          <w:iCs/>
          <w:sz w:val="20"/>
        </w:rPr>
        <w:t xml:space="preserve">: </w:t>
      </w:r>
      <w:r>
        <w:rPr>
          <w:rFonts w:hint="eastAsia"/>
          <w:b/>
          <w:i/>
          <w:iCs/>
          <w:sz w:val="20"/>
          <w:lang w:val="en-US" w:eastAsia="zh-CN"/>
        </w:rPr>
        <w:t>The most interested sensing scenarios with the sensing targets are supported to calibrate, in order to reduce the workload.</w:t>
      </w:r>
    </w:p>
    <w:p>
      <w:pPr>
        <w:numPr>
          <w:ilvl w:val="0"/>
          <w:numId w:val="10"/>
        </w:numPr>
        <w:snapToGrid w:val="0"/>
        <w:spacing w:before="180" w:beforeLines="50" w:after="180" w:afterLines="50"/>
        <w:ind w:left="840" w:leftChars="0" w:hanging="420" w:firstLineChars="0"/>
        <w:jc w:val="both"/>
        <w:rPr>
          <w:rFonts w:hint="eastAsia"/>
          <w:b/>
          <w:i/>
          <w:iCs/>
          <w:sz w:val="20"/>
          <w:lang w:val="en-US" w:eastAsia="zh-CN"/>
        </w:rPr>
      </w:pPr>
      <w:r>
        <w:rPr>
          <w:rFonts w:hint="eastAsia"/>
          <w:b/>
          <w:i/>
          <w:iCs/>
          <w:sz w:val="20"/>
          <w:lang w:val="en-US" w:eastAsia="zh-CN"/>
        </w:rPr>
        <w:t>At least the sensing targets of UAV and vehicles should be calibrated.</w:t>
      </w:r>
    </w:p>
    <w:p>
      <w:pPr>
        <w:snapToGrid w:val="0"/>
        <w:spacing w:after="180" w:afterLines="50"/>
        <w:jc w:val="both"/>
        <w:rPr>
          <w:rFonts w:hint="default"/>
          <w:iCs/>
          <w:sz w:val="20"/>
          <w:lang w:val="en-US" w:eastAsia="zh-CN"/>
        </w:rPr>
      </w:pPr>
    </w:p>
    <w:p>
      <w:pPr>
        <w:snapToGrid w:val="0"/>
        <w:spacing w:after="180" w:afterLines="50"/>
        <w:jc w:val="both"/>
        <w:rPr>
          <w:rFonts w:hint="eastAsia"/>
          <w:iCs/>
          <w:sz w:val="20"/>
          <w:lang w:val="en-US" w:eastAsia="zh-CN"/>
        </w:rPr>
      </w:pPr>
      <w:r>
        <w:rPr>
          <w:rFonts w:hint="eastAsia"/>
          <w:iCs/>
          <w:sz w:val="20"/>
          <w:lang w:val="en-US" w:eastAsia="zh-CN"/>
        </w:rPr>
        <w:t>In the following, we provide our views on the essential parameters for calibration:</w:t>
      </w:r>
    </w:p>
    <w:p>
      <w:pPr>
        <w:snapToGrid w:val="0"/>
        <w:spacing w:after="180" w:afterLines="50"/>
        <w:jc w:val="center"/>
        <w:rPr>
          <w:rFonts w:hint="eastAsia"/>
          <w:iCs/>
          <w:sz w:val="20"/>
          <w:lang w:val="en-US" w:eastAsia="zh-CN"/>
        </w:rPr>
      </w:pPr>
      <w:r>
        <w:rPr>
          <w:rFonts w:hint="eastAsia"/>
          <w:iCs/>
          <w:sz w:val="20"/>
          <w:lang w:val="en-US" w:eastAsia="zh-CN"/>
        </w:rPr>
        <w:t>Table 1: Calibration parameters for UAV</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5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b/>
                <w:bCs/>
                <w:iCs/>
                <w:sz w:val="20"/>
                <w:szCs w:val="20"/>
                <w:vertAlign w:val="baseline"/>
                <w:lang w:val="en-US" w:eastAsia="zh-CN"/>
              </w:rPr>
            </w:pPr>
            <w:r>
              <w:rPr>
                <w:rFonts w:hint="eastAsia"/>
                <w:b/>
                <w:bCs/>
                <w:iCs/>
                <w:sz w:val="20"/>
                <w:szCs w:val="20"/>
                <w:vertAlign w:val="baseline"/>
                <w:lang w:val="en-US" w:eastAsia="zh-CN"/>
              </w:rPr>
              <w:t>Parameter</w:t>
            </w:r>
          </w:p>
        </w:tc>
        <w:tc>
          <w:tcPr>
            <w:tcW w:w="5836" w:type="dxa"/>
            <w:vAlign w:val="center"/>
          </w:tcPr>
          <w:p>
            <w:pPr>
              <w:snapToGrid w:val="0"/>
              <w:spacing w:after="180" w:afterLines="50"/>
              <w:jc w:val="both"/>
              <w:rPr>
                <w:rFonts w:hint="default"/>
                <w:b/>
                <w:bCs/>
                <w:iCs/>
                <w:sz w:val="20"/>
                <w:szCs w:val="20"/>
                <w:vertAlign w:val="baseline"/>
                <w:lang w:val="en-US" w:eastAsia="zh-CN"/>
              </w:rPr>
            </w:pPr>
            <w:r>
              <w:rPr>
                <w:rFonts w:hint="eastAsia"/>
                <w:b/>
                <w:bCs/>
                <w:iCs/>
                <w:sz w:val="20"/>
                <w:szCs w:val="20"/>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scenario</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Rma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Sensing mode</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BS-BS mono-static, BS-BS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Carrier frequency</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FR1: 6GHz; FR2: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BS height</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BS antenna configuration</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(M,N,P,Mg,Ng;Mp,Np)=(16,16,</w:t>
            </w:r>
            <w:r>
              <w:rPr>
                <w:rFonts w:hint="eastAsia"/>
                <w:iCs/>
                <w:sz w:val="20"/>
                <w:szCs w:val="20"/>
                <w:vertAlign w:val="baseline"/>
                <w:lang w:val="en-US" w:eastAsia="zh-CN"/>
              </w:rPr>
              <w:t>2</w:t>
            </w:r>
            <w:r>
              <w:rPr>
                <w:rFonts w:hint="default"/>
                <w:iCs/>
                <w:sz w:val="20"/>
                <w:szCs w:val="20"/>
                <w:vertAlign w:val="baseline"/>
                <w:lang w:val="en-US" w:eastAsia="zh-CN"/>
              </w:rPr>
              <w:t>,1,1,1,1)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Antenna virtualization</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Ideal beamforming, e.g., a</w:t>
            </w:r>
            <w:r>
              <w:rPr>
                <w:rFonts w:hint="default"/>
                <w:iCs/>
                <w:sz w:val="20"/>
                <w:szCs w:val="20"/>
                <w:vertAlign w:val="baseline"/>
                <w:lang w:val="en-US" w:eastAsia="zh-CN"/>
              </w:rPr>
              <w:t>nalog beam towards to the sensing target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Sensing target distribution</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Horizontal: 5 targets uniformly distributed within the center cell</w:t>
            </w:r>
          </w:p>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Vertical : fixed height with 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Sensing target mobility</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Horizontal velocity: uniform distribution between 0 and 180km/h.</w:t>
            </w:r>
          </w:p>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Vertical velocity: 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Large-scale RCS for each scattering point</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The mean value of target RCS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Wrapping method</w:t>
            </w:r>
          </w:p>
        </w:tc>
        <w:tc>
          <w:tcPr>
            <w:tcW w:w="5836" w:type="dxa"/>
            <w:vAlign w:val="center"/>
          </w:tcPr>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 xml:space="preserve">No need to apply wrapparound </w:t>
            </w:r>
            <w:r>
              <w:rPr>
                <w:rFonts w:hint="eastAsia"/>
                <w:iCs/>
                <w:sz w:val="20"/>
                <w:szCs w:val="20"/>
                <w:vertAlign w:val="baseline"/>
                <w:lang w:val="en-US" w:eastAsia="zh-CN"/>
              </w:rPr>
              <w:t xml:space="preserve">when </w:t>
            </w:r>
            <w:r>
              <w:rPr>
                <w:rFonts w:hint="default"/>
                <w:iCs/>
                <w:sz w:val="20"/>
                <w:szCs w:val="20"/>
                <w:vertAlign w:val="baseline"/>
                <w:lang w:val="en-US" w:eastAsia="zh-CN"/>
              </w:rPr>
              <w:t>sensing targets are distributed only in the center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iCs/>
                <w:sz w:val="20"/>
                <w:szCs w:val="20"/>
                <w:vertAlign w:val="baseline"/>
                <w:lang w:val="en-US" w:eastAsia="zh-CN"/>
              </w:rPr>
            </w:pPr>
            <w:r>
              <w:rPr>
                <w:rFonts w:hint="eastAsia"/>
                <w:iCs/>
                <w:sz w:val="20"/>
                <w:szCs w:val="20"/>
                <w:vertAlign w:val="baseline"/>
                <w:lang w:val="en-US" w:eastAsia="zh-CN"/>
              </w:rPr>
              <w:t>Metrics</w:t>
            </w:r>
          </w:p>
        </w:tc>
        <w:tc>
          <w:tcPr>
            <w:tcW w:w="5836" w:type="dxa"/>
            <w:vAlign w:val="center"/>
          </w:tcPr>
          <w:p>
            <w:pPr>
              <w:numPr>
                <w:ilvl w:val="0"/>
                <w:numId w:val="11"/>
              </w:num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coupling loss</w:t>
            </w:r>
          </w:p>
          <w:p>
            <w:p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2) Delay Spread and Angle Spread (ASD, ZSD, ASA, ZSA) according to circular angle spread definition of TR 25.996</w:t>
            </w:r>
          </w:p>
        </w:tc>
      </w:tr>
    </w:tbl>
    <w:p>
      <w:pPr>
        <w:snapToGrid w:val="0"/>
        <w:spacing w:after="180" w:afterLines="50"/>
        <w:jc w:val="both"/>
        <w:rPr>
          <w:rFonts w:hint="eastAsia"/>
          <w:iCs/>
          <w:sz w:val="20"/>
        </w:rPr>
      </w:pPr>
    </w:p>
    <w:p>
      <w:pPr>
        <w:snapToGrid w:val="0"/>
        <w:spacing w:after="180" w:afterLines="50"/>
        <w:jc w:val="center"/>
        <w:rPr>
          <w:rFonts w:hint="default"/>
          <w:iCs/>
          <w:sz w:val="20"/>
          <w:lang w:val="en-US" w:eastAsia="zh-CN"/>
        </w:rPr>
      </w:pPr>
      <w:r>
        <w:rPr>
          <w:rFonts w:hint="eastAsia"/>
          <w:iCs/>
          <w:sz w:val="20"/>
          <w:lang w:val="en-US" w:eastAsia="zh-CN"/>
        </w:rPr>
        <w:t>Table 2: Calibration parameters for vehicle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0"/>
        <w:gridCol w:w="5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default"/>
                <w:b/>
                <w:bCs/>
                <w:iCs/>
                <w:sz w:val="20"/>
                <w:szCs w:val="20"/>
                <w:vertAlign w:val="baseline"/>
                <w:lang w:val="en-US" w:eastAsia="zh-CN"/>
              </w:rPr>
            </w:pPr>
            <w:r>
              <w:rPr>
                <w:rFonts w:hint="eastAsia"/>
                <w:b/>
                <w:bCs/>
                <w:iCs/>
                <w:sz w:val="20"/>
                <w:szCs w:val="20"/>
                <w:vertAlign w:val="baseline"/>
                <w:lang w:val="en-US" w:eastAsia="zh-CN"/>
              </w:rPr>
              <w:t>Parameter</w:t>
            </w:r>
          </w:p>
        </w:tc>
        <w:tc>
          <w:tcPr>
            <w:tcW w:w="5836" w:type="dxa"/>
            <w:vAlign w:val="center"/>
          </w:tcPr>
          <w:p>
            <w:pPr>
              <w:snapToGrid w:val="0"/>
              <w:spacing w:after="180" w:afterLines="50"/>
              <w:jc w:val="both"/>
              <w:rPr>
                <w:rFonts w:hint="default"/>
                <w:b/>
                <w:bCs/>
                <w:iCs/>
                <w:sz w:val="20"/>
                <w:szCs w:val="20"/>
                <w:vertAlign w:val="baseline"/>
                <w:lang w:val="en-US" w:eastAsia="zh-CN"/>
              </w:rPr>
            </w:pPr>
            <w:r>
              <w:rPr>
                <w:rFonts w:hint="eastAsia"/>
                <w:b/>
                <w:bCs/>
                <w:iCs/>
                <w:sz w:val="20"/>
                <w:szCs w:val="20"/>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scenario</w:t>
            </w:r>
          </w:p>
        </w:tc>
        <w:tc>
          <w:tcPr>
            <w:tcW w:w="5836" w:type="dxa"/>
          </w:tcPr>
          <w:p>
            <w:pPr>
              <w:snapToGrid w:val="0"/>
              <w:spacing w:after="180" w:afterLines="50"/>
              <w:jc w:val="both"/>
              <w:rPr>
                <w:rFonts w:hint="eastAsia"/>
                <w:iCs/>
                <w:sz w:val="20"/>
                <w:vertAlign w:val="baseline"/>
                <w:lang w:val="en-US" w:eastAsia="zh-CN"/>
              </w:rPr>
            </w:pPr>
            <w:r>
              <w:rPr>
                <w:rFonts w:hint="eastAsia"/>
                <w:iCs/>
                <w:sz w:val="20"/>
                <w:vertAlign w:val="baseline"/>
                <w:lang w:val="en-US" w:eastAsia="zh-CN"/>
              </w:rPr>
              <w:t>Highway: ISD=500</w:t>
            </w:r>
          </w:p>
          <w:p>
            <w:pPr>
              <w:snapToGrid w:val="0"/>
              <w:spacing w:after="180" w:afterLines="50"/>
              <w:jc w:val="both"/>
            </w:pPr>
            <w:r>
              <w:drawing>
                <wp:inline distT="0" distB="0" distL="0" distR="0">
                  <wp:extent cx="1569720" cy="927100"/>
                  <wp:effectExtent l="0" t="0" r="0" b="25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0066" cy="933301"/>
                          </a:xfrm>
                          <a:prstGeom prst="rect">
                            <a:avLst/>
                          </a:prstGeom>
                        </pic:spPr>
                      </pic:pic>
                    </a:graphicData>
                  </a:graphic>
                </wp:inline>
              </w:drawing>
            </w:r>
          </w:p>
          <w:p>
            <w:pPr>
              <w:snapToGrid w:val="0"/>
              <w:spacing w:after="180" w:afterLines="50"/>
              <w:jc w:val="both"/>
              <w:rPr>
                <w:rFonts w:hint="default" w:eastAsia="宋体"/>
                <w:lang w:val="en-US" w:eastAsia="zh-CN"/>
              </w:rPr>
            </w:pPr>
            <w:r>
              <w:rPr>
                <w:rFonts w:hint="eastAsia"/>
                <w:sz w:val="20"/>
                <w:szCs w:val="20"/>
                <w:lang w:val="en-US" w:eastAsia="zh-CN"/>
              </w:rPr>
              <w:t xml:space="preserve">Note: </w:t>
            </w:r>
            <w:r>
              <w:rPr>
                <w:iCs/>
                <w:sz w:val="20"/>
              </w:rPr>
              <w:t>staggered/unsymmetrical UE-type RSU</w:t>
            </w:r>
            <w:r>
              <w:rPr>
                <w:rFonts w:hint="eastAsia"/>
                <w:iCs/>
                <w:sz w:val="20"/>
                <w:lang w:val="en-US" w:eastAsia="zh-CN"/>
              </w:rPr>
              <w:t xml:space="preserve"> can be distributed in two sides of the road.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Sensing mode</w:t>
            </w:r>
          </w:p>
        </w:tc>
        <w:tc>
          <w:tcPr>
            <w:tcW w:w="5836"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BS-BS mono-static, BS-BS bi-static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Carrier frequency</w:t>
            </w:r>
          </w:p>
        </w:tc>
        <w:tc>
          <w:tcPr>
            <w:tcW w:w="5836" w:type="dxa"/>
            <w:vAlign w:val="center"/>
          </w:tcPr>
          <w:p>
            <w:pPr>
              <w:snapToGrid w:val="0"/>
              <w:spacing w:after="180" w:afterLines="50"/>
              <w:jc w:val="both"/>
              <w:rPr>
                <w:rFonts w:hint="eastAsia"/>
                <w:iCs/>
                <w:sz w:val="20"/>
                <w:vertAlign w:val="baseline"/>
              </w:rPr>
            </w:pPr>
            <w:r>
              <w:rPr>
                <w:rFonts w:hint="default"/>
                <w:iCs/>
                <w:sz w:val="20"/>
                <w:szCs w:val="20"/>
                <w:vertAlign w:val="baseline"/>
                <w:lang w:val="en-US" w:eastAsia="zh-CN"/>
              </w:rPr>
              <w:t>FR1: 6GHz; FR2: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BS height</w:t>
            </w:r>
          </w:p>
        </w:tc>
        <w:tc>
          <w:tcPr>
            <w:tcW w:w="5836"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BS antenna configuration</w:t>
            </w:r>
          </w:p>
        </w:tc>
        <w:tc>
          <w:tcPr>
            <w:tcW w:w="5836" w:type="dxa"/>
            <w:vAlign w:val="center"/>
          </w:tcPr>
          <w:p>
            <w:pPr>
              <w:snapToGrid w:val="0"/>
              <w:spacing w:after="180" w:afterLines="50"/>
              <w:jc w:val="both"/>
              <w:rPr>
                <w:rFonts w:hint="eastAsia"/>
                <w:iCs/>
                <w:sz w:val="20"/>
                <w:vertAlign w:val="baseline"/>
              </w:rPr>
            </w:pPr>
            <w:r>
              <w:rPr>
                <w:rFonts w:hint="default"/>
                <w:iCs/>
                <w:sz w:val="20"/>
                <w:szCs w:val="20"/>
                <w:vertAlign w:val="baseline"/>
                <w:lang w:val="en-US" w:eastAsia="zh-CN"/>
              </w:rPr>
              <w:t>(M,N,P,Mg,Ng;Mp,Np)=(16,16,</w:t>
            </w:r>
            <w:r>
              <w:rPr>
                <w:rFonts w:hint="eastAsia"/>
                <w:iCs/>
                <w:sz w:val="20"/>
                <w:szCs w:val="20"/>
                <w:vertAlign w:val="baseline"/>
                <w:lang w:val="en-US" w:eastAsia="zh-CN"/>
              </w:rPr>
              <w:t>2</w:t>
            </w:r>
            <w:r>
              <w:rPr>
                <w:rFonts w:hint="default"/>
                <w:iCs/>
                <w:sz w:val="20"/>
                <w:szCs w:val="20"/>
                <w:vertAlign w:val="baseline"/>
                <w:lang w:val="en-US" w:eastAsia="zh-CN"/>
              </w:rPr>
              <w:t>,1,1,1,1)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Antenna virtualization</w:t>
            </w:r>
          </w:p>
        </w:tc>
        <w:tc>
          <w:tcPr>
            <w:tcW w:w="5836" w:type="dxa"/>
          </w:tcPr>
          <w:p>
            <w:pPr>
              <w:snapToGrid w:val="0"/>
              <w:spacing w:after="180" w:afterLines="50"/>
              <w:jc w:val="both"/>
              <w:rPr>
                <w:rFonts w:hint="eastAsia"/>
                <w:iCs/>
                <w:sz w:val="20"/>
                <w:vertAlign w:val="baseline"/>
              </w:rPr>
            </w:pPr>
            <w:r>
              <w:rPr>
                <w:rFonts w:hint="eastAsia"/>
                <w:iCs/>
                <w:sz w:val="20"/>
                <w:vertAlign w:val="baseline"/>
                <w:lang w:val="en-US" w:eastAsia="zh-CN"/>
              </w:rPr>
              <w:t>Ideal beamforming, e.g., analog beam towards to the sensing target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Sensing target distribution</w:t>
            </w:r>
          </w:p>
        </w:tc>
        <w:tc>
          <w:tcPr>
            <w:tcW w:w="5836" w:type="dxa"/>
          </w:tcPr>
          <w:p>
            <w:pPr>
              <w:snapToGrid w:val="0"/>
              <w:spacing w:after="180" w:afterLines="50"/>
              <w:jc w:val="both"/>
              <w:rPr>
                <w:rFonts w:hint="default" w:eastAsia="宋体"/>
                <w:iCs/>
                <w:sz w:val="20"/>
                <w:vertAlign w:val="baseline"/>
                <w:lang w:val="en-US" w:eastAsia="zh-CN"/>
              </w:rPr>
            </w:pPr>
            <w:r>
              <w:rPr>
                <w:rFonts w:hint="eastAsia"/>
                <w:iCs/>
                <w:sz w:val="20"/>
                <w:vertAlign w:val="baseline"/>
                <w:lang w:val="en-US" w:eastAsia="zh-CN"/>
              </w:rPr>
              <w:t>1 target in each lane with the distribution of</w:t>
            </w:r>
            <w:r>
              <w:rPr>
                <w:rFonts w:hint="eastAsia"/>
                <w:iCs/>
                <w:sz w:val="20"/>
                <w:vertAlign w:val="baseline"/>
              </w:rPr>
              <w:t xml:space="preserve"> Option A</w:t>
            </w:r>
            <w:r>
              <w:rPr>
                <w:rFonts w:hint="eastAsia"/>
                <w:iCs/>
                <w:sz w:val="20"/>
                <w:vertAlign w:val="baseline"/>
                <w:lang w:val="en-US" w:eastAsia="zh-CN"/>
              </w:rPr>
              <w:t xml:space="preserve"> in TR 37.885</w:t>
            </w:r>
          </w:p>
          <w:p>
            <w:pPr>
              <w:snapToGrid w:val="0"/>
              <w:spacing w:after="180" w:afterLines="50"/>
              <w:jc w:val="both"/>
              <w:rPr>
                <w:rFonts w:hint="eastAsia"/>
                <w:iCs/>
                <w:sz w:val="20"/>
                <w:vertAlign w:val="baseline"/>
              </w:rPr>
            </w:pPr>
            <w:r>
              <w:rPr>
                <w:rFonts w:hint="eastAsia"/>
                <w:iCs/>
                <w:sz w:val="20"/>
                <w:vertAlign w:val="baseline"/>
              </w:rPr>
              <w:t>- Vehicle type distribution: 100% vehicle type 2.</w:t>
            </w:r>
          </w:p>
          <w:p>
            <w:pPr>
              <w:snapToGrid w:val="0"/>
              <w:spacing w:after="180" w:afterLines="50"/>
              <w:jc w:val="both"/>
              <w:rPr>
                <w:rFonts w:hint="eastAsia"/>
                <w:iCs/>
                <w:sz w:val="20"/>
                <w:vertAlign w:val="baseline"/>
              </w:rPr>
            </w:pPr>
            <w:r>
              <w:rPr>
                <w:rFonts w:hint="eastAsia"/>
                <w:iCs/>
                <w:sz w:val="20"/>
                <w:vertAlign w:val="baseline"/>
              </w:rPr>
              <w:t>- Clustered dropping is not used.</w:t>
            </w:r>
          </w:p>
          <w:p>
            <w:pPr>
              <w:snapToGrid w:val="0"/>
              <w:spacing w:after="180" w:afterLines="50"/>
              <w:jc w:val="both"/>
              <w:rPr>
                <w:rFonts w:hint="eastAsia"/>
                <w:iCs/>
                <w:sz w:val="20"/>
                <w:vertAlign w:val="baseline"/>
              </w:rPr>
            </w:pPr>
            <w:r>
              <w:rPr>
                <w:rFonts w:hint="eastAsia"/>
                <w:iCs/>
                <w:sz w:val="20"/>
                <w:vertAlign w:val="baseline"/>
              </w:rPr>
              <w:t>- Vehicle speed is 140 km/h in all the lanes as baseline and 70 km/h in all the lanes optionally.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Sensing target mobility</w:t>
            </w:r>
          </w:p>
        </w:tc>
        <w:tc>
          <w:tcPr>
            <w:tcW w:w="5836" w:type="dxa"/>
          </w:tcPr>
          <w:p>
            <w:pPr>
              <w:snapToGrid w:val="0"/>
              <w:spacing w:after="180" w:afterLines="50"/>
              <w:jc w:val="both"/>
              <w:rPr>
                <w:rFonts w:hint="eastAsia"/>
                <w:iCs/>
                <w:sz w:val="20"/>
                <w:vertAlign w:val="baseline"/>
              </w:rPr>
            </w:pPr>
            <w:r>
              <w:rPr>
                <w:rFonts w:hint="eastAsia"/>
                <w:iCs/>
                <w:sz w:val="20"/>
                <w:vertAlign w:val="baseline"/>
              </w:rPr>
              <w:t>Vehicle speed is 140 km/h in all the lanes as baseline and 70 km/h in all the lanes optionally.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vertAlign w:val="baseline"/>
              </w:rPr>
            </w:pPr>
            <w:r>
              <w:rPr>
                <w:rFonts w:hint="eastAsia"/>
                <w:iCs/>
                <w:sz w:val="20"/>
                <w:szCs w:val="20"/>
                <w:vertAlign w:val="baseline"/>
                <w:lang w:val="en-US" w:eastAsia="zh-CN"/>
              </w:rPr>
              <w:t>Large-scale RCS for each scattering point</w:t>
            </w:r>
          </w:p>
        </w:tc>
        <w:tc>
          <w:tcPr>
            <w:tcW w:w="5836" w:type="dxa"/>
            <w:vAlign w:val="center"/>
          </w:tcPr>
          <w:p>
            <w:pPr>
              <w:snapToGrid w:val="0"/>
              <w:spacing w:after="180" w:afterLines="50"/>
              <w:jc w:val="both"/>
              <w:rPr>
                <w:rFonts w:hint="eastAsia"/>
                <w:iCs/>
                <w:sz w:val="20"/>
                <w:vertAlign w:val="baseline"/>
              </w:rPr>
            </w:pPr>
            <w:r>
              <w:rPr>
                <w:rFonts w:hint="default"/>
                <w:iCs/>
                <w:sz w:val="20"/>
                <w:szCs w:val="20"/>
                <w:vertAlign w:val="baseline"/>
                <w:lang w:val="en-US" w:eastAsia="zh-CN"/>
              </w:rPr>
              <w:t>The mean value of target RCS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0" w:type="dxa"/>
            <w:vAlign w:val="center"/>
          </w:tcPr>
          <w:p>
            <w:pPr>
              <w:snapToGrid w:val="0"/>
              <w:spacing w:after="180" w:afterLines="50"/>
              <w:jc w:val="both"/>
              <w:rPr>
                <w:rFonts w:hint="eastAsia"/>
                <w:iCs/>
                <w:sz w:val="20"/>
                <w:szCs w:val="20"/>
                <w:vertAlign w:val="baseline"/>
                <w:lang w:val="en-US" w:eastAsia="zh-CN"/>
              </w:rPr>
            </w:pPr>
            <w:r>
              <w:rPr>
                <w:rFonts w:hint="eastAsia"/>
                <w:iCs/>
                <w:sz w:val="20"/>
                <w:szCs w:val="20"/>
                <w:vertAlign w:val="baseline"/>
                <w:lang w:val="en-US" w:eastAsia="zh-CN"/>
              </w:rPr>
              <w:t>Metrics</w:t>
            </w:r>
          </w:p>
        </w:tc>
        <w:tc>
          <w:tcPr>
            <w:tcW w:w="5836" w:type="dxa"/>
            <w:vAlign w:val="center"/>
          </w:tcPr>
          <w:p>
            <w:pPr>
              <w:numPr>
                <w:ilvl w:val="0"/>
                <w:numId w:val="12"/>
              </w:numPr>
              <w:snapToGrid w:val="0"/>
              <w:spacing w:after="180" w:afterLines="50"/>
              <w:jc w:val="both"/>
              <w:rPr>
                <w:rFonts w:hint="default"/>
                <w:iCs/>
                <w:sz w:val="20"/>
                <w:szCs w:val="20"/>
                <w:vertAlign w:val="baseline"/>
                <w:lang w:val="en-US" w:eastAsia="zh-CN"/>
              </w:rPr>
            </w:pPr>
            <w:r>
              <w:rPr>
                <w:rFonts w:hint="default"/>
                <w:iCs/>
                <w:sz w:val="20"/>
                <w:szCs w:val="20"/>
                <w:vertAlign w:val="baseline"/>
                <w:lang w:val="en-US" w:eastAsia="zh-CN"/>
              </w:rPr>
              <w:t>coupling loss</w:t>
            </w:r>
          </w:p>
          <w:p>
            <w:pPr>
              <w:snapToGrid w:val="0"/>
              <w:spacing w:after="180" w:afterLines="50"/>
              <w:jc w:val="both"/>
              <w:rPr>
                <w:rFonts w:hint="eastAsia"/>
                <w:iCs/>
                <w:sz w:val="20"/>
                <w:vertAlign w:val="baseline"/>
              </w:rPr>
            </w:pPr>
            <w:r>
              <w:rPr>
                <w:rFonts w:hint="default"/>
                <w:iCs/>
                <w:sz w:val="20"/>
                <w:szCs w:val="20"/>
                <w:vertAlign w:val="baseline"/>
                <w:lang w:val="en-US" w:eastAsia="zh-CN"/>
              </w:rPr>
              <w:t>2) Delay Spread and Angle Spread (ASD, ZSD, ASA, ZSA) according to circular angle spread definition of TR 25.996</w:t>
            </w:r>
          </w:p>
        </w:tc>
      </w:tr>
    </w:tbl>
    <w:p>
      <w:pPr>
        <w:autoSpaceDE w:val="0"/>
        <w:autoSpaceDN w:val="0"/>
        <w:adjustRightInd w:val="0"/>
        <w:snapToGrid w:val="0"/>
        <w:spacing w:before="180" w:beforeLines="50" w:after="180" w:afterLines="50"/>
        <w:jc w:val="both"/>
        <w:rPr>
          <w:rFonts w:hint="eastAsia"/>
          <w:iCs/>
          <w:sz w:val="20"/>
          <w:szCs w:val="20"/>
        </w:rPr>
      </w:pPr>
    </w:p>
    <w:p>
      <w:pPr>
        <w:pStyle w:val="2"/>
        <w:snapToGrid w:val="0"/>
        <w:spacing w:before="120" w:after="180" w:afterLines="50"/>
        <w:ind w:left="431" w:hanging="431"/>
        <w:jc w:val="both"/>
        <w:rPr>
          <w:sz w:val="28"/>
          <w:lang w:val="en-US"/>
        </w:rPr>
      </w:pPr>
      <w:r>
        <w:rPr>
          <w:sz w:val="28"/>
          <w:lang w:val="en-US"/>
        </w:rPr>
        <w:t>Conclusion</w:t>
      </w:r>
    </w:p>
    <w:p>
      <w:pPr>
        <w:snapToGrid w:val="0"/>
        <w:rPr>
          <w:sz w:val="20"/>
          <w:szCs w:val="20"/>
        </w:rPr>
      </w:pPr>
      <w:r>
        <w:rPr>
          <w:sz w:val="20"/>
          <w:szCs w:val="20"/>
        </w:rPr>
        <w:t>In this contribution, we provide our views on the deployment scenarios corresponding to ISAC use cases, and we have the following proposals:</w:t>
      </w:r>
    </w:p>
    <w:p>
      <w:pPr>
        <w:snapToGrid w:val="0"/>
        <w:spacing w:before="180" w:beforeLines="50" w:after="180" w:afterLines="50"/>
        <w:jc w:val="both"/>
        <w:rPr>
          <w:rFonts w:hint="eastAsia"/>
          <w:b/>
          <w:i/>
          <w:iCs/>
          <w:sz w:val="20"/>
          <w:lang w:val="en-US" w:eastAsia="zh-CN"/>
        </w:rPr>
      </w:pPr>
      <w:r>
        <w:rPr>
          <w:b/>
          <w:i/>
          <w:iCs/>
          <w:sz w:val="20"/>
        </w:rPr>
        <w:t xml:space="preserve">Proposal </w:t>
      </w:r>
      <w:r>
        <w:rPr>
          <w:b/>
          <w:i/>
          <w:iCs/>
          <w:sz w:val="20"/>
        </w:rPr>
        <w:fldChar w:fldCharType="begin"/>
      </w:r>
      <w:r>
        <w:rPr>
          <w:b/>
          <w:i/>
          <w:iCs/>
          <w:sz w:val="20"/>
        </w:rPr>
        <w:instrText xml:space="preserve"> SEQ Proposal \* ARABIC </w:instrText>
      </w:r>
      <w:r>
        <w:rPr>
          <w:b/>
          <w:i/>
          <w:iCs/>
          <w:sz w:val="20"/>
        </w:rPr>
        <w:fldChar w:fldCharType="separate"/>
      </w:r>
      <w:r>
        <w:rPr>
          <w:b/>
          <w:i/>
          <w:iCs/>
          <w:sz w:val="20"/>
        </w:rPr>
        <w:t>1</w:t>
      </w:r>
      <w:r>
        <w:rPr>
          <w:b/>
          <w:iCs/>
          <w:sz w:val="20"/>
        </w:rPr>
        <w:fldChar w:fldCharType="end"/>
      </w:r>
      <w:r>
        <w:rPr>
          <w:rFonts w:hint="eastAsia"/>
          <w:b/>
          <w:i/>
          <w:iCs/>
          <w:sz w:val="20"/>
        </w:rPr>
        <w:t xml:space="preserve">: </w:t>
      </w:r>
      <w:r>
        <w:rPr>
          <w:rFonts w:hint="eastAsia"/>
          <w:b/>
          <w:i/>
          <w:iCs/>
          <w:sz w:val="20"/>
          <w:lang w:val="en-US" w:eastAsia="zh-CN"/>
        </w:rPr>
        <w:t>For ISAC channel model calibration, Option 1 is supported.</w:t>
      </w:r>
    </w:p>
    <w:p>
      <w:pPr>
        <w:numPr>
          <w:ilvl w:val="0"/>
          <w:numId w:val="9"/>
        </w:numPr>
        <w:snapToGrid w:val="0"/>
        <w:spacing w:before="180" w:beforeLines="50" w:after="180" w:afterLines="50"/>
        <w:ind w:left="840" w:leftChars="0" w:hanging="420" w:firstLineChars="0"/>
        <w:jc w:val="both"/>
        <w:rPr>
          <w:rFonts w:hint="default"/>
          <w:b/>
          <w:i/>
          <w:iCs/>
          <w:sz w:val="20"/>
          <w:lang w:val="en-US" w:eastAsia="zh-CN"/>
        </w:rPr>
      </w:pPr>
      <w:r>
        <w:rPr>
          <w:rFonts w:hint="default"/>
          <w:b/>
          <w:i/>
          <w:iCs/>
          <w:sz w:val="20"/>
          <w:lang w:val="en-US" w:eastAsia="zh-CN"/>
        </w:rPr>
        <w:t>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w:t>
      </w:r>
      <w:r>
        <w:rPr>
          <w:rFonts w:hint="eastAsia"/>
          <w:b/>
          <w:i/>
          <w:iCs/>
          <w:sz w:val="20"/>
          <w:lang w:val="en-US" w:eastAsia="zh-CN"/>
        </w:rPr>
        <w:t>.</w:t>
      </w:r>
    </w:p>
    <w:p>
      <w:pPr>
        <w:snapToGrid w:val="0"/>
        <w:spacing w:before="180" w:beforeLines="50" w:after="180" w:afterLines="50"/>
        <w:jc w:val="both"/>
        <w:rPr>
          <w:rFonts w:hint="eastAsia"/>
          <w:b/>
          <w:i/>
          <w:iCs/>
          <w:sz w:val="20"/>
          <w:lang w:val="en-US" w:eastAsia="zh-CN"/>
        </w:rPr>
      </w:pPr>
      <w:r>
        <w:rPr>
          <w:b/>
          <w:i/>
          <w:iCs/>
          <w:sz w:val="20"/>
        </w:rPr>
        <w:t xml:space="preserve">Proposal </w:t>
      </w:r>
      <w:r>
        <w:rPr>
          <w:rFonts w:hint="eastAsia"/>
          <w:b/>
          <w:i/>
          <w:iCs/>
          <w:sz w:val="20"/>
          <w:lang w:val="en-US" w:eastAsia="zh-CN"/>
        </w:rPr>
        <w:t>2</w:t>
      </w:r>
      <w:r>
        <w:rPr>
          <w:rFonts w:hint="eastAsia"/>
          <w:b/>
          <w:i/>
          <w:iCs/>
          <w:sz w:val="20"/>
        </w:rPr>
        <w:t xml:space="preserve">: </w:t>
      </w:r>
      <w:r>
        <w:rPr>
          <w:rFonts w:hint="eastAsia"/>
          <w:b/>
          <w:i/>
          <w:iCs/>
          <w:sz w:val="20"/>
          <w:lang w:val="en-US" w:eastAsia="zh-CN"/>
        </w:rPr>
        <w:t>The most interested sensing scenarios with the sensing targets are supported to calibrate, in order to reduce the workload.</w:t>
      </w:r>
    </w:p>
    <w:p>
      <w:pPr>
        <w:numPr>
          <w:ilvl w:val="0"/>
          <w:numId w:val="10"/>
        </w:numPr>
        <w:snapToGrid w:val="0"/>
        <w:spacing w:before="180" w:beforeLines="50" w:after="180" w:afterLines="50"/>
        <w:ind w:left="840" w:leftChars="0" w:hanging="420" w:firstLineChars="0"/>
        <w:jc w:val="both"/>
        <w:rPr>
          <w:rFonts w:hint="eastAsia"/>
          <w:b/>
          <w:i/>
          <w:iCs/>
          <w:sz w:val="20"/>
          <w:lang w:val="en-US" w:eastAsia="zh-CN"/>
        </w:rPr>
      </w:pPr>
      <w:r>
        <w:rPr>
          <w:rFonts w:hint="eastAsia"/>
          <w:b/>
          <w:i/>
          <w:iCs/>
          <w:sz w:val="20"/>
          <w:lang w:val="en-US" w:eastAsia="zh-CN"/>
        </w:rPr>
        <w:t>At least the sensing targets of UAV and vehicles should be calibrated.</w:t>
      </w:r>
    </w:p>
    <w:p>
      <w:pPr>
        <w:rPr>
          <w:rFonts w:hint="eastAsia"/>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13"/>
        </w:numPr>
        <w:autoSpaceDE w:val="0"/>
        <w:autoSpaceDN w:val="0"/>
        <w:adjustRightInd w:val="0"/>
        <w:snapToGrid w:val="0"/>
        <w:jc w:val="both"/>
        <w:rPr>
          <w:sz w:val="20"/>
          <w:szCs w:val="20"/>
        </w:rPr>
      </w:pPr>
      <w:r>
        <w:rPr>
          <w:rFonts w:hint="eastAsia"/>
          <w:sz w:val="20"/>
          <w:szCs w:val="20"/>
        </w:rPr>
        <w:t>R</w:t>
      </w:r>
      <w:r>
        <w:rPr>
          <w:sz w:val="20"/>
          <w:szCs w:val="20"/>
        </w:rPr>
        <w:t>P-234069 New SID: Study on channel modelling for Integrated Sensing And Communication (ISAC) for NR, Nokia, Nokia Shanghai Bell, 3GPP TSG RAN Meeting #102</w:t>
      </w:r>
    </w:p>
    <w:p>
      <w:pPr>
        <w:numPr>
          <w:ilvl w:val="0"/>
          <w:numId w:val="13"/>
        </w:numPr>
        <w:autoSpaceDE w:val="0"/>
        <w:autoSpaceDN w:val="0"/>
        <w:adjustRightInd w:val="0"/>
        <w:snapToGrid w:val="0"/>
        <w:jc w:val="both"/>
        <w:rPr>
          <w:sz w:val="20"/>
          <w:szCs w:val="20"/>
        </w:rPr>
      </w:pPr>
      <w:r>
        <w:rPr>
          <w:sz w:val="20"/>
          <w:szCs w:val="20"/>
        </w:rPr>
        <w:t>Chair notes RAN1#119 eom</w:t>
      </w:r>
    </w:p>
    <w:p>
      <w:pPr>
        <w:numPr>
          <w:ilvl w:val="0"/>
          <w:numId w:val="13"/>
        </w:numPr>
        <w:autoSpaceDE w:val="0"/>
        <w:autoSpaceDN w:val="0"/>
        <w:adjustRightInd w:val="0"/>
        <w:snapToGrid w:val="0"/>
        <w:jc w:val="both"/>
        <w:rPr>
          <w:sz w:val="20"/>
          <w:szCs w:val="20"/>
        </w:rPr>
      </w:pPr>
      <w:r>
        <w:rPr>
          <w:sz w:val="20"/>
          <w:szCs w:val="20"/>
        </w:rPr>
        <w:t>TS 22.137 Service requirements for Integrated Sensing and Communication; Stage 1 (Release 19)</w:t>
      </w:r>
    </w:p>
    <w:p>
      <w:pPr>
        <w:numPr>
          <w:ilvl w:val="0"/>
          <w:numId w:val="13"/>
        </w:numPr>
        <w:autoSpaceDE w:val="0"/>
        <w:autoSpaceDN w:val="0"/>
        <w:adjustRightInd w:val="0"/>
        <w:snapToGrid w:val="0"/>
        <w:jc w:val="both"/>
        <w:rPr>
          <w:sz w:val="20"/>
          <w:szCs w:val="20"/>
        </w:rPr>
      </w:pPr>
      <w:r>
        <w:rPr>
          <w:rFonts w:hint="eastAsia"/>
          <w:sz w:val="20"/>
          <w:szCs w:val="20"/>
        </w:rPr>
        <w:t>R</w:t>
      </w:r>
      <w:r>
        <w:rPr>
          <w:sz w:val="20"/>
          <w:szCs w:val="20"/>
        </w:rPr>
        <w:t>1-2500059 Email discussion summary on ISAC CM calibration, Moderator (AT&amp;T)</w:t>
      </w:r>
    </w:p>
    <w:p>
      <w:pPr>
        <w:numPr>
          <w:ilvl w:val="0"/>
          <w:numId w:val="13"/>
        </w:numPr>
        <w:autoSpaceDE w:val="0"/>
        <w:autoSpaceDN w:val="0"/>
        <w:adjustRightInd w:val="0"/>
        <w:snapToGrid w:val="0"/>
        <w:jc w:val="both"/>
        <w:rPr>
          <w:sz w:val="20"/>
          <w:szCs w:val="20"/>
        </w:rPr>
      </w:pPr>
      <w:r>
        <w:rPr>
          <w:rFonts w:hint="eastAsia"/>
          <w:sz w:val="20"/>
          <w:szCs w:val="20"/>
        </w:rPr>
        <w:t>T</w:t>
      </w:r>
      <w:r>
        <w:rPr>
          <w:sz w:val="20"/>
          <w:szCs w:val="20"/>
        </w:rPr>
        <w:t>R 22.837 Feasibility Study on Integrated Sensing and Communication</w:t>
      </w:r>
      <w:r>
        <w:rPr>
          <w:rFonts w:hint="eastAsia"/>
          <w:sz w:val="20"/>
          <w:szCs w:val="20"/>
        </w:rPr>
        <w:t xml:space="preserve"> </w:t>
      </w:r>
      <w:r>
        <w:rPr>
          <w:sz w:val="20"/>
          <w:szCs w:val="20"/>
        </w:rPr>
        <w:t>(Release 19)</w:t>
      </w:r>
    </w:p>
    <w:p>
      <w:pPr>
        <w:numPr>
          <w:ilvl w:val="0"/>
          <w:numId w:val="13"/>
        </w:numPr>
        <w:autoSpaceDE w:val="0"/>
        <w:autoSpaceDN w:val="0"/>
        <w:adjustRightInd w:val="0"/>
        <w:snapToGrid w:val="0"/>
        <w:jc w:val="both"/>
        <w:rPr>
          <w:sz w:val="20"/>
          <w:szCs w:val="20"/>
        </w:rPr>
      </w:pPr>
      <w:r>
        <w:rPr>
          <w:rFonts w:hint="eastAsia"/>
          <w:sz w:val="20"/>
          <w:szCs w:val="20"/>
        </w:rPr>
        <w:t>T</w:t>
      </w:r>
      <w:r>
        <w:rPr>
          <w:sz w:val="20"/>
          <w:szCs w:val="20"/>
        </w:rPr>
        <w:t>S 36.777 Study on Enhanced LTE Support for Aerial Vehicles</w:t>
      </w:r>
      <w:r>
        <w:rPr>
          <w:rFonts w:hint="eastAsia"/>
          <w:sz w:val="20"/>
          <w:szCs w:val="20"/>
        </w:rPr>
        <w:t xml:space="preserve"> </w:t>
      </w:r>
      <w:r>
        <w:rPr>
          <w:sz w:val="20"/>
          <w:szCs w:val="20"/>
        </w:rPr>
        <w:t>(Release 15)</w:t>
      </w:r>
    </w:p>
    <w:p>
      <w:pPr>
        <w:numPr>
          <w:ilvl w:val="0"/>
          <w:numId w:val="13"/>
        </w:numPr>
        <w:autoSpaceDE w:val="0"/>
        <w:autoSpaceDN w:val="0"/>
        <w:adjustRightInd w:val="0"/>
        <w:snapToGrid w:val="0"/>
        <w:jc w:val="both"/>
        <w:rPr>
          <w:sz w:val="20"/>
          <w:szCs w:val="20"/>
        </w:rPr>
      </w:pPr>
      <w:r>
        <w:rPr>
          <w:rFonts w:hint="eastAsia"/>
          <w:sz w:val="20"/>
          <w:szCs w:val="20"/>
        </w:rPr>
        <w:t>T</w:t>
      </w:r>
      <w:r>
        <w:rPr>
          <w:sz w:val="20"/>
          <w:szCs w:val="20"/>
        </w:rPr>
        <w:t>R 38.901 Study on channel model for frequencies from 0.5 to 100 GHz</w:t>
      </w:r>
    </w:p>
    <w:p>
      <w:pPr>
        <w:numPr>
          <w:ilvl w:val="0"/>
          <w:numId w:val="13"/>
        </w:numPr>
        <w:autoSpaceDE w:val="0"/>
        <w:autoSpaceDN w:val="0"/>
        <w:adjustRightInd w:val="0"/>
        <w:snapToGrid w:val="0"/>
        <w:jc w:val="both"/>
        <w:rPr>
          <w:sz w:val="20"/>
          <w:szCs w:val="20"/>
        </w:rPr>
      </w:pPr>
      <w:r>
        <w:rPr>
          <w:rFonts w:hint="eastAsia"/>
          <w:sz w:val="20"/>
          <w:szCs w:val="20"/>
        </w:rPr>
        <w:t>TR 38.857 Study on NR Positioning Enhancements;</w:t>
      </w:r>
    </w:p>
    <w:p>
      <w:pPr>
        <w:numPr>
          <w:ilvl w:val="0"/>
          <w:numId w:val="13"/>
        </w:numPr>
        <w:autoSpaceDE w:val="0"/>
        <w:autoSpaceDN w:val="0"/>
        <w:adjustRightInd w:val="0"/>
        <w:snapToGrid w:val="0"/>
        <w:jc w:val="both"/>
        <w:rPr>
          <w:sz w:val="20"/>
          <w:szCs w:val="20"/>
        </w:rPr>
      </w:pPr>
      <w:r>
        <w:rPr>
          <w:rFonts w:hint="eastAsia"/>
          <w:sz w:val="20"/>
          <w:szCs w:val="20"/>
        </w:rPr>
        <w:t>TR 37.885 Study on evaluation methodology of new Vehicle-to-Everything (V2X) use cases for LTE and NR</w:t>
      </w:r>
    </w:p>
    <w:p>
      <w:pPr>
        <w:numPr>
          <w:ilvl w:val="0"/>
          <w:numId w:val="13"/>
        </w:numPr>
        <w:autoSpaceDE w:val="0"/>
        <w:autoSpaceDN w:val="0"/>
        <w:adjustRightInd w:val="0"/>
        <w:snapToGrid w:val="0"/>
        <w:jc w:val="both"/>
      </w:pPr>
      <w:r>
        <w:rPr>
          <w:rFonts w:hint="eastAsia"/>
          <w:sz w:val="20"/>
          <w:szCs w:val="20"/>
        </w:rPr>
        <w:t>TR 36.885 Study on LTE-based V2X Services;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B3FCF7D6"/>
    <w:multiLevelType w:val="singleLevel"/>
    <w:tmpl w:val="B3FCF7D6"/>
    <w:lvl w:ilvl="0" w:tentative="0">
      <w:start w:val="1"/>
      <w:numFmt w:val="decimal"/>
      <w:suff w:val="space"/>
      <w:lvlText w:val="%1)"/>
      <w:lvlJc w:val="left"/>
    </w:lvl>
  </w:abstractNum>
  <w:abstractNum w:abstractNumId="2">
    <w:nsid w:val="DBB7E664"/>
    <w:multiLevelType w:val="singleLevel"/>
    <w:tmpl w:val="DBB7E664"/>
    <w:lvl w:ilvl="0" w:tentative="0">
      <w:start w:val="1"/>
      <w:numFmt w:val="bullet"/>
      <w:lvlText w:val=""/>
      <w:lvlJc w:val="left"/>
      <w:pPr>
        <w:tabs>
          <w:tab w:val="left" w:pos="420"/>
        </w:tabs>
        <w:ind w:left="840" w:hanging="420"/>
      </w:pPr>
      <w:rPr>
        <w:rFonts w:hint="default" w:ascii="Wingdings" w:hAnsi="Wingdings"/>
      </w:rPr>
    </w:lvl>
  </w:abstractNum>
  <w:abstractNum w:abstractNumId="3">
    <w:nsid w:val="052C15E5"/>
    <w:multiLevelType w:val="singleLevel"/>
    <w:tmpl w:val="052C15E5"/>
    <w:lvl w:ilvl="0" w:tentative="0">
      <w:start w:val="1"/>
      <w:numFmt w:val="decimal"/>
      <w:suff w:val="space"/>
      <w:lvlText w:val="%1)"/>
      <w:lvlJc w:val="left"/>
    </w:lvl>
  </w:abstractNum>
  <w:abstractNum w:abstractNumId="4">
    <w:nsid w:val="07B00CE9"/>
    <w:multiLevelType w:val="multilevel"/>
    <w:tmpl w:val="07B00C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4B0467"/>
    <w:multiLevelType w:val="multilevel"/>
    <w:tmpl w:val="1D4B0467"/>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3C8D359A"/>
    <w:multiLevelType w:val="multilevel"/>
    <w:tmpl w:val="3C8D3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5B8B21E5"/>
    <w:multiLevelType w:val="multilevel"/>
    <w:tmpl w:val="5B8B21E5"/>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CFD22EC"/>
    <w:multiLevelType w:val="multilevel"/>
    <w:tmpl w:val="5CFD22EC"/>
    <w:lvl w:ilvl="0" w:tentative="0">
      <w:start w:val="5"/>
      <w:numFmt w:val="decimal"/>
      <w:lvlText w:val="%1)"/>
      <w:lvlJc w:val="left"/>
      <w:pPr>
        <w:tabs>
          <w:tab w:val="left" w:pos="0"/>
        </w:tabs>
        <w:ind w:left="720" w:hanging="360"/>
      </w:pPr>
      <w:rPr>
        <w:rFonts w:hint="default" w:ascii="Times New Roman" w:hAnsi="Times New Roman" w:cs="Times New Roman"/>
      </w:rPr>
    </w:lvl>
    <w:lvl w:ilvl="1" w:tentative="0">
      <w:start w:val="2"/>
      <w:numFmt w:val="decimal"/>
      <w:lvlText w:val="%2."/>
      <w:lvlJc w:val="left"/>
      <w:pPr>
        <w:ind w:left="1440" w:hanging="360"/>
      </w:pPr>
      <w:rPr>
        <w:rFonts w:hint="default" w:ascii="Times New Roman" w:hAnsi="Times New Roman" w:cs="Times New Roman"/>
      </w:rPr>
    </w:lvl>
    <w:lvl w:ilvl="2" w:tentative="0">
      <w:start w:val="4"/>
      <w:numFmt w:val="bullet"/>
      <w:lvlText w:val=""/>
      <w:lvlJc w:val="left"/>
      <w:pPr>
        <w:ind w:left="2340" w:hanging="360"/>
      </w:pPr>
      <w:rPr>
        <w:rFonts w:hint="default" w:ascii="Symbol" w:hAnsi="Symbol"/>
      </w:rPr>
    </w:lvl>
    <w:lvl w:ilvl="3" w:tentative="0">
      <w:start w:val="2"/>
      <w:numFmt w:val="decimal"/>
      <w:lvlText w:val="%4."/>
      <w:lvlJc w:val="left"/>
      <w:pPr>
        <w:tabs>
          <w:tab w:val="left" w:pos="0"/>
        </w:tabs>
        <w:ind w:left="2880" w:hanging="360"/>
      </w:pPr>
      <w:rPr>
        <w:rFonts w:hint="default" w:ascii="Times New Roman" w:hAnsi="Times New Roman" w:cs="Times New Roman"/>
      </w:rPr>
    </w:lvl>
    <w:lvl w:ilvl="4" w:tentative="0">
      <w:start w:val="1"/>
      <w:numFmt w:val="bullet"/>
      <w:lvlText w:val=""/>
      <w:lvlJc w:val="left"/>
      <w:pPr>
        <w:ind w:left="3600" w:hanging="360"/>
      </w:pPr>
      <w:rPr>
        <w:rFonts w:hint="default" w:ascii="Symbol" w:hAnsi="Symbol"/>
      </w:rPr>
    </w:lvl>
    <w:lvl w:ilvl="5" w:tentative="0">
      <w:start w:val="1"/>
      <w:numFmt w:val="bullet"/>
      <w:lvlText w:val=""/>
      <w:lvlJc w:val="left"/>
      <w:pPr>
        <w:ind w:left="4500" w:hanging="360"/>
      </w:pPr>
      <w:rPr>
        <w:rFonts w:hint="default" w:ascii="Symbol" w:hAnsi="Symbol"/>
      </w:rPr>
    </w:lvl>
    <w:lvl w:ilvl="6" w:tentative="0">
      <w:start w:val="1"/>
      <w:numFmt w:val="decimal"/>
      <w:lvlText w:val="%7."/>
      <w:lvlJc w:val="left"/>
      <w:pPr>
        <w:tabs>
          <w:tab w:val="left" w:pos="0"/>
        </w:tabs>
        <w:ind w:left="5040" w:hanging="360"/>
      </w:pPr>
      <w:rPr>
        <w:rFonts w:hint="default" w:ascii="Times New Roman" w:hAnsi="Times New Roman" w:cs="Times New Roman"/>
      </w:rPr>
    </w:lvl>
    <w:lvl w:ilvl="7" w:tentative="0">
      <w:start w:val="1"/>
      <w:numFmt w:val="lowerLetter"/>
      <w:lvlText w:val="%8."/>
      <w:lvlJc w:val="left"/>
      <w:pPr>
        <w:tabs>
          <w:tab w:val="left" w:pos="0"/>
        </w:tabs>
        <w:ind w:left="5760" w:hanging="360"/>
      </w:pPr>
      <w:rPr>
        <w:rFonts w:hint="default" w:ascii="Times New Roman" w:hAnsi="Times New Roman" w:cs="Times New Roman"/>
      </w:rPr>
    </w:lvl>
    <w:lvl w:ilvl="8" w:tentative="0">
      <w:start w:val="1"/>
      <w:numFmt w:val="lowerRoman"/>
      <w:lvlText w:val="%9."/>
      <w:lvlJc w:val="right"/>
      <w:pPr>
        <w:tabs>
          <w:tab w:val="left" w:pos="0"/>
        </w:tabs>
        <w:ind w:left="6480" w:hanging="180"/>
      </w:pPr>
      <w:rPr>
        <w:rFonts w:hint="default" w:ascii="Times New Roman" w:hAnsi="Times New Roman" w:cs="Times New Roman"/>
      </w:rPr>
    </w:lvl>
  </w:abstractNum>
  <w:abstractNum w:abstractNumId="11">
    <w:nsid w:val="75E64C90"/>
    <w:multiLevelType w:val="multilevel"/>
    <w:tmpl w:val="75E64C90"/>
    <w:lvl w:ilvl="0" w:tentative="0">
      <w:start w:val="1"/>
      <w:numFmt w:val="decimal"/>
      <w:lvlText w:val="%1."/>
      <w:lvlJc w:val="left"/>
      <w:pPr>
        <w:tabs>
          <w:tab w:val="left" w:pos="0"/>
        </w:tabs>
        <w:ind w:left="720" w:hanging="360"/>
      </w:pPr>
      <w:rPr>
        <w:rFonts w:hint="default"/>
      </w:rPr>
    </w:lvl>
    <w:lvl w:ilvl="1" w:tentative="0">
      <w:start w:val="1"/>
      <w:numFmt w:val="lowerLetter"/>
      <w:lvlText w:val="%2."/>
      <w:lvlJc w:val="left"/>
      <w:pPr>
        <w:tabs>
          <w:tab w:val="left" w:pos="0"/>
        </w:tabs>
        <w:ind w:left="1440" w:hanging="360"/>
      </w:pPr>
      <w:rPr>
        <w:rFonts w:hint="default" w:ascii="Times New Roman" w:hAnsi="Times New Roman" w:cs="Times New Roman"/>
      </w:rPr>
    </w:lvl>
    <w:lvl w:ilvl="2" w:tentative="0">
      <w:start w:val="1"/>
      <w:numFmt w:val="bullet"/>
      <w:lvlText w:val=""/>
      <w:lvlJc w:val="left"/>
      <w:pPr>
        <w:ind w:left="2340" w:hanging="360"/>
      </w:pPr>
      <w:rPr>
        <w:rFonts w:hint="default" w:ascii="Symbol" w:hAnsi="Symbol"/>
      </w:rPr>
    </w:lvl>
    <w:lvl w:ilvl="3" w:tentative="0">
      <w:start w:val="1"/>
      <w:numFmt w:val="decimal"/>
      <w:lvlText w:val="%4."/>
      <w:lvlJc w:val="left"/>
      <w:pPr>
        <w:tabs>
          <w:tab w:val="left" w:pos="0"/>
        </w:tabs>
        <w:ind w:left="2880" w:hanging="360"/>
      </w:pPr>
      <w:rPr>
        <w:rFonts w:hint="default" w:ascii="Times New Roman" w:hAnsi="Times New Roman" w:cs="Times New Roman"/>
      </w:rPr>
    </w:lvl>
    <w:lvl w:ilvl="4" w:tentative="0">
      <w:start w:val="1"/>
      <w:numFmt w:val="upperLetter"/>
      <w:lvlText w:val="%5."/>
      <w:lvlJc w:val="left"/>
      <w:pPr>
        <w:ind w:left="3600" w:hanging="360"/>
      </w:pPr>
      <w:rPr>
        <w:rFonts w:hint="default" w:ascii="Times New Roman" w:hAnsi="Times New Roman" w:cs="Times New Roman"/>
      </w:rPr>
    </w:lvl>
    <w:lvl w:ilvl="5" w:tentative="0">
      <w:start w:val="1"/>
      <w:numFmt w:val="bullet"/>
      <w:lvlText w:val=""/>
      <w:lvlJc w:val="left"/>
      <w:pPr>
        <w:ind w:left="4500" w:hanging="360"/>
      </w:pPr>
      <w:rPr>
        <w:rFonts w:hint="default" w:ascii="Symbol" w:hAnsi="Symbol"/>
      </w:rPr>
    </w:lvl>
    <w:lvl w:ilvl="6" w:tentative="0">
      <w:start w:val="1"/>
      <w:numFmt w:val="decimal"/>
      <w:lvlText w:val="%7."/>
      <w:lvlJc w:val="left"/>
      <w:pPr>
        <w:tabs>
          <w:tab w:val="left" w:pos="0"/>
        </w:tabs>
        <w:ind w:left="5040" w:hanging="360"/>
      </w:pPr>
      <w:rPr>
        <w:rFonts w:hint="default" w:ascii="Times New Roman" w:hAnsi="Times New Roman" w:cs="Times New Roman"/>
      </w:rPr>
    </w:lvl>
    <w:lvl w:ilvl="7" w:tentative="0">
      <w:start w:val="1"/>
      <w:numFmt w:val="lowerLetter"/>
      <w:lvlText w:val="%8."/>
      <w:lvlJc w:val="left"/>
      <w:pPr>
        <w:tabs>
          <w:tab w:val="left" w:pos="0"/>
        </w:tabs>
        <w:ind w:left="5760" w:hanging="360"/>
      </w:pPr>
      <w:rPr>
        <w:rFonts w:hint="default" w:ascii="Times New Roman" w:hAnsi="Times New Roman" w:cs="Times New Roman"/>
      </w:rPr>
    </w:lvl>
    <w:lvl w:ilvl="8" w:tentative="0">
      <w:start w:val="1"/>
      <w:numFmt w:val="lowerRoman"/>
      <w:lvlText w:val="%9."/>
      <w:lvlJc w:val="right"/>
      <w:pPr>
        <w:tabs>
          <w:tab w:val="left" w:pos="0"/>
        </w:tabs>
        <w:ind w:left="6480" w:hanging="180"/>
      </w:pPr>
      <w:rPr>
        <w:rFonts w:hint="default" w:ascii="Times New Roman" w:hAnsi="Times New Roman" w:cs="Times New Roman"/>
      </w:rPr>
    </w:lvl>
  </w:abstractNum>
  <w:abstractNum w:abstractNumId="12">
    <w:nsid w:val="76C83D00"/>
    <w:multiLevelType w:val="singleLevel"/>
    <w:tmpl w:val="76C83D00"/>
    <w:lvl w:ilvl="0" w:tentative="0">
      <w:start w:val="1"/>
      <w:numFmt w:val="bullet"/>
      <w:lvlText w:val=""/>
      <w:lvlJc w:val="left"/>
      <w:pPr>
        <w:tabs>
          <w:tab w:val="left" w:pos="420"/>
        </w:tabs>
        <w:ind w:left="840" w:hanging="420"/>
      </w:pPr>
      <w:rPr>
        <w:rFonts w:hint="default" w:ascii="Wingdings" w:hAnsi="Wingdings"/>
      </w:rPr>
    </w:lvl>
  </w:abstractNum>
  <w:num w:numId="1">
    <w:abstractNumId w:val="8"/>
  </w:num>
  <w:num w:numId="2">
    <w:abstractNumId w:val="7"/>
  </w:num>
  <w:num w:numId="3">
    <w:abstractNumId w:val="6"/>
  </w:num>
  <w:num w:numId="4">
    <w:abstractNumId w:val="9"/>
  </w:num>
  <w:num w:numId="5">
    <w:abstractNumId w:val="5"/>
  </w:num>
  <w:num w:numId="6">
    <w:abstractNumId w:val="11"/>
  </w:num>
  <w:num w:numId="7">
    <w:abstractNumId w:val="10"/>
    <w:lvlOverride w:ilvl="0">
      <w:startOverride w:val="5"/>
    </w:lvlOverride>
    <w:lvlOverride w:ilvl="1">
      <w:startOverride w:val="2"/>
    </w:lvlOverride>
    <w:lvlOverride w:ilvl="3">
      <w:startOverride w:val="2"/>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2"/>
  </w:num>
  <w:num w:numId="11">
    <w:abstractNumId w:val="3"/>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460"/>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24"/>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015"/>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8D4"/>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40E"/>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2B12"/>
    <w:rsid w:val="00123159"/>
    <w:rsid w:val="00123170"/>
    <w:rsid w:val="00123185"/>
    <w:rsid w:val="0012325D"/>
    <w:rsid w:val="001235B8"/>
    <w:rsid w:val="001235DA"/>
    <w:rsid w:val="00123619"/>
    <w:rsid w:val="00123642"/>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86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8CB"/>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13"/>
    <w:rsid w:val="001618C5"/>
    <w:rsid w:val="00161B2A"/>
    <w:rsid w:val="00161D9B"/>
    <w:rsid w:val="00161F55"/>
    <w:rsid w:val="00162050"/>
    <w:rsid w:val="00162141"/>
    <w:rsid w:val="00162C1F"/>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64"/>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2E0"/>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41"/>
    <w:rsid w:val="00203068"/>
    <w:rsid w:val="002030A5"/>
    <w:rsid w:val="002031ED"/>
    <w:rsid w:val="002032B3"/>
    <w:rsid w:val="002033FD"/>
    <w:rsid w:val="0020374C"/>
    <w:rsid w:val="00203844"/>
    <w:rsid w:val="00203D93"/>
    <w:rsid w:val="002040C3"/>
    <w:rsid w:val="002040DB"/>
    <w:rsid w:val="0020425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947"/>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14"/>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1EA2"/>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362"/>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6DB7"/>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C1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351"/>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DA5"/>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14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3F4"/>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99"/>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07F6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36"/>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96C"/>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9B4"/>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509"/>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8A5"/>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582"/>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CDA"/>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3C1"/>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1B"/>
    <w:rsid w:val="00703891"/>
    <w:rsid w:val="00703C0D"/>
    <w:rsid w:val="00703C5E"/>
    <w:rsid w:val="00703E8B"/>
    <w:rsid w:val="00704124"/>
    <w:rsid w:val="0070455C"/>
    <w:rsid w:val="007045F3"/>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22"/>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13F"/>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AD3"/>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7E"/>
    <w:rsid w:val="007777AC"/>
    <w:rsid w:val="00777892"/>
    <w:rsid w:val="00777AF2"/>
    <w:rsid w:val="00777CF7"/>
    <w:rsid w:val="00777E73"/>
    <w:rsid w:val="00777E91"/>
    <w:rsid w:val="00777F1B"/>
    <w:rsid w:val="00780487"/>
    <w:rsid w:val="0078054C"/>
    <w:rsid w:val="00780889"/>
    <w:rsid w:val="007808DD"/>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59F"/>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5ED9"/>
    <w:rsid w:val="0081608F"/>
    <w:rsid w:val="0081618D"/>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745"/>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B3"/>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7C1"/>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9CF"/>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C0A"/>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7D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2C4"/>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A14"/>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08E"/>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5A5"/>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517"/>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3F0"/>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B7E"/>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49"/>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2AA"/>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51A"/>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CE7"/>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584"/>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95E"/>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0C"/>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CB4"/>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A6E"/>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0E"/>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4B"/>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1D8"/>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56C"/>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08"/>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3757E"/>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A82"/>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5F01"/>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5F4"/>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AB7"/>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B44"/>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ECA"/>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34"/>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524"/>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E7A51"/>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30D"/>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D15"/>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1C4"/>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820"/>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6DF"/>
    <w:rsid w:val="00E87816"/>
    <w:rsid w:val="00E8782C"/>
    <w:rsid w:val="00E87DE7"/>
    <w:rsid w:val="00E900EC"/>
    <w:rsid w:val="00E9031A"/>
    <w:rsid w:val="00E90359"/>
    <w:rsid w:val="00E90915"/>
    <w:rsid w:val="00E9099B"/>
    <w:rsid w:val="00E90B3C"/>
    <w:rsid w:val="00E90F18"/>
    <w:rsid w:val="00E91069"/>
    <w:rsid w:val="00E9121C"/>
    <w:rsid w:val="00E91276"/>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EAA"/>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1FB3"/>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11"/>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384"/>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8D8"/>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6DE9"/>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4FF"/>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5F81"/>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C6E"/>
    <w:rsid w:val="00F75D1A"/>
    <w:rsid w:val="00F75E72"/>
    <w:rsid w:val="00F75E76"/>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9EB"/>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C1A"/>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0612"/>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14FFD"/>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061F0"/>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7E5969"/>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72442"/>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393E47"/>
    <w:rsid w:val="6341499B"/>
    <w:rsid w:val="63416F64"/>
    <w:rsid w:val="634325ED"/>
    <w:rsid w:val="63443AEC"/>
    <w:rsid w:val="634802B3"/>
    <w:rsid w:val="63572241"/>
    <w:rsid w:val="63574F6E"/>
    <w:rsid w:val="635C28DF"/>
    <w:rsid w:val="63602152"/>
    <w:rsid w:val="636075B2"/>
    <w:rsid w:val="63633234"/>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26D56"/>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01E8E"/>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86CDF"/>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2"/>
    <w:unhideWhenUsed/>
    <w:qFormat/>
    <w:uiPriority w:val="9"/>
    <w:pPr>
      <w:outlineLvl w:val="2"/>
    </w:pPr>
  </w:style>
  <w:style w:type="paragraph" w:styleId="5">
    <w:name w:val="heading 4"/>
    <w:basedOn w:val="4"/>
    <w:next w:val="1"/>
    <w:link w:val="33"/>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4"/>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5"/>
    <w:qFormat/>
    <w:uiPriority w:val="0"/>
    <w:pPr>
      <w:tabs>
        <w:tab w:val="left" w:pos="1418"/>
      </w:tabs>
      <w:spacing w:before="120" w:after="120"/>
    </w:pPr>
    <w:rPr>
      <w:b/>
      <w:bCs/>
      <w:sz w:val="20"/>
      <w:szCs w:val="20"/>
      <w:lang w:val="en-GB" w:eastAsia="sv-SE"/>
    </w:rPr>
  </w:style>
  <w:style w:type="paragraph" w:styleId="10">
    <w:name w:val="Document Map"/>
    <w:basedOn w:val="1"/>
    <w:link w:val="36"/>
    <w:unhideWhenUsed/>
    <w:qFormat/>
    <w:uiPriority w:val="99"/>
    <w:rPr>
      <w:rFonts w:ascii="宋体"/>
      <w:sz w:val="18"/>
      <w:szCs w:val="18"/>
    </w:rPr>
  </w:style>
  <w:style w:type="paragraph" w:styleId="11">
    <w:name w:val="annotation text"/>
    <w:basedOn w:val="1"/>
    <w:link w:val="37"/>
    <w:unhideWhenUsed/>
    <w:qFormat/>
    <w:uiPriority w:val="0"/>
    <w:rPr>
      <w:sz w:val="20"/>
      <w:szCs w:val="20"/>
    </w:rPr>
  </w:style>
  <w:style w:type="paragraph" w:styleId="12">
    <w:name w:val="Body Text"/>
    <w:basedOn w:val="1"/>
    <w:link w:val="38"/>
    <w:qFormat/>
    <w:uiPriority w:val="0"/>
    <w:pPr>
      <w:widowControl w:val="0"/>
      <w:jc w:val="both"/>
    </w:pPr>
    <w:rPr>
      <w:color w:val="0000FF"/>
      <w:kern w:val="2"/>
      <w:sz w:val="21"/>
      <w:szCs w:val="20"/>
    </w:rPr>
  </w:style>
  <w:style w:type="paragraph" w:styleId="13">
    <w:name w:val="Body Text Indent"/>
    <w:basedOn w:val="1"/>
    <w:link w:val="39"/>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40"/>
    <w:unhideWhenUsed/>
    <w:qFormat/>
    <w:uiPriority w:val="99"/>
    <w:rPr>
      <w:rFonts w:eastAsia="Calibri"/>
      <w:szCs w:val="21"/>
      <w:lang w:val="en-GB" w:eastAsia="en-US"/>
    </w:rPr>
  </w:style>
  <w:style w:type="paragraph" w:styleId="17">
    <w:name w:val="Date"/>
    <w:basedOn w:val="1"/>
    <w:next w:val="1"/>
    <w:link w:val="41"/>
    <w:unhideWhenUsed/>
    <w:qFormat/>
    <w:uiPriority w:val="99"/>
    <w:pPr>
      <w:ind w:left="100" w:leftChars="2500"/>
    </w:pPr>
  </w:style>
  <w:style w:type="paragraph" w:styleId="18">
    <w:name w:val="Balloon Text"/>
    <w:basedOn w:val="1"/>
    <w:link w:val="29"/>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0"/>
    <w:rPr>
      <w:sz w:val="16"/>
      <w:szCs w:val="16"/>
    </w:rPr>
  </w:style>
  <w:style w:type="character" w:customStyle="1" w:styleId="29">
    <w:name w:val="批注框文本 字符"/>
    <w:link w:val="18"/>
    <w:semiHidden/>
    <w:qFormat/>
    <w:uiPriority w:val="99"/>
    <w:rPr>
      <w:rFonts w:ascii="Tahoma" w:hAnsi="Tahoma" w:cs="Tahoma"/>
      <w:sz w:val="16"/>
      <w:szCs w:val="16"/>
    </w:rPr>
  </w:style>
  <w:style w:type="character" w:customStyle="1" w:styleId="30">
    <w:name w:val="标题 1 字符"/>
    <w:link w:val="2"/>
    <w:qFormat/>
    <w:uiPriority w:val="0"/>
    <w:rPr>
      <w:rFonts w:ascii="Arial" w:hAnsi="Arial" w:eastAsia="黑体"/>
      <w:b/>
      <w:bCs/>
      <w:sz w:val="30"/>
      <w:szCs w:val="30"/>
      <w:lang w:val="zh-CN"/>
    </w:rPr>
  </w:style>
  <w:style w:type="character" w:customStyle="1" w:styleId="31">
    <w:name w:val="标题 2 字符"/>
    <w:link w:val="3"/>
    <w:qFormat/>
    <w:uiPriority w:val="0"/>
    <w:rPr>
      <w:rFonts w:ascii="Cambria" w:hAnsi="Cambria"/>
      <w:b/>
      <w:bCs/>
      <w:sz w:val="32"/>
      <w:szCs w:val="32"/>
      <w:lang w:val="en-US" w:eastAsia="zh-CN"/>
    </w:rPr>
  </w:style>
  <w:style w:type="character" w:customStyle="1" w:styleId="32">
    <w:name w:val="标题 3 字符"/>
    <w:link w:val="4"/>
    <w:semiHidden/>
    <w:qFormat/>
    <w:uiPriority w:val="9"/>
    <w:rPr>
      <w:b/>
      <w:bCs/>
      <w:sz w:val="32"/>
      <w:szCs w:val="32"/>
    </w:rPr>
  </w:style>
  <w:style w:type="character" w:customStyle="1" w:styleId="33">
    <w:name w:val="标题 4 字符"/>
    <w:link w:val="5"/>
    <w:qFormat/>
    <w:uiPriority w:val="0"/>
    <w:rPr>
      <w:rFonts w:ascii="Times New Roman" w:hAnsi="Times New Roman"/>
      <w:b/>
      <w:sz w:val="28"/>
      <w:szCs w:val="28"/>
      <w:lang w:val="en-GB"/>
    </w:rPr>
  </w:style>
  <w:style w:type="character" w:customStyle="1" w:styleId="34">
    <w:name w:val="标题 5 字符"/>
    <w:link w:val="6"/>
    <w:qFormat/>
    <w:uiPriority w:val="0"/>
    <w:rPr>
      <w:rFonts w:ascii="Times New Roman" w:hAnsi="Times New Roman"/>
      <w:b/>
      <w:sz w:val="24"/>
      <w:szCs w:val="24"/>
      <w:lang w:val="en-GB"/>
    </w:rPr>
  </w:style>
  <w:style w:type="character" w:customStyle="1" w:styleId="35">
    <w:name w:val="题注 字符"/>
    <w:link w:val="9"/>
    <w:qFormat/>
    <w:uiPriority w:val="0"/>
    <w:rPr>
      <w:rFonts w:ascii="Times New Roman" w:hAnsi="Times New Roman"/>
      <w:b/>
      <w:bCs/>
      <w:lang w:val="en-GB" w:eastAsia="sv-SE"/>
    </w:rPr>
  </w:style>
  <w:style w:type="character" w:customStyle="1" w:styleId="36">
    <w:name w:val="文档结构图 字符"/>
    <w:link w:val="10"/>
    <w:semiHidden/>
    <w:qFormat/>
    <w:uiPriority w:val="99"/>
    <w:rPr>
      <w:rFonts w:ascii="宋体"/>
      <w:sz w:val="18"/>
      <w:szCs w:val="18"/>
    </w:rPr>
  </w:style>
  <w:style w:type="character" w:customStyle="1" w:styleId="37">
    <w:name w:val="批注文字 字符"/>
    <w:basedOn w:val="25"/>
    <w:link w:val="11"/>
    <w:qFormat/>
    <w:uiPriority w:val="0"/>
  </w:style>
  <w:style w:type="character" w:customStyle="1" w:styleId="38">
    <w:name w:val="正文文本 字符"/>
    <w:link w:val="12"/>
    <w:qFormat/>
    <w:uiPriority w:val="0"/>
    <w:rPr>
      <w:rFonts w:ascii="Times New Roman" w:hAnsi="Times New Roman"/>
      <w:color w:val="0000FF"/>
      <w:kern w:val="2"/>
      <w:sz w:val="21"/>
    </w:rPr>
  </w:style>
  <w:style w:type="character" w:customStyle="1" w:styleId="39">
    <w:name w:val="正文文本缩进 字符"/>
    <w:basedOn w:val="25"/>
    <w:link w:val="13"/>
    <w:semiHidden/>
    <w:qFormat/>
    <w:uiPriority w:val="99"/>
    <w:rPr>
      <w:sz w:val="22"/>
      <w:szCs w:val="22"/>
    </w:rPr>
  </w:style>
  <w:style w:type="character" w:customStyle="1" w:styleId="40">
    <w:name w:val="纯文本 字符"/>
    <w:link w:val="16"/>
    <w:qFormat/>
    <w:uiPriority w:val="99"/>
    <w:rPr>
      <w:rFonts w:eastAsia="Calibri"/>
      <w:sz w:val="22"/>
      <w:szCs w:val="21"/>
      <w:lang w:val="en-GB" w:eastAsia="en-US"/>
    </w:rPr>
  </w:style>
  <w:style w:type="character" w:customStyle="1" w:styleId="41">
    <w:name w:val="日期 字符"/>
    <w:link w:val="17"/>
    <w:semiHidden/>
    <w:qFormat/>
    <w:uiPriority w:val="99"/>
    <w:rPr>
      <w:sz w:val="22"/>
      <w:szCs w:val="22"/>
    </w:rPr>
  </w:style>
  <w:style w:type="character" w:customStyle="1" w:styleId="42">
    <w:name w:val="页脚 字符"/>
    <w:link w:val="19"/>
    <w:qFormat/>
    <w:uiPriority w:val="99"/>
    <w:rPr>
      <w:sz w:val="18"/>
      <w:szCs w:val="18"/>
    </w:rPr>
  </w:style>
  <w:style w:type="character" w:customStyle="1" w:styleId="43">
    <w:name w:val="页眉 字符"/>
    <w:link w:val="20"/>
    <w:qFormat/>
    <w:uiPriority w:val="99"/>
    <w:rPr>
      <w:rFonts w:ascii="Arial" w:hAnsi="Arial" w:eastAsia="MS Mincho"/>
      <w:b/>
      <w:szCs w:val="24"/>
      <w:lang w:eastAsia="en-US"/>
    </w:rPr>
  </w:style>
  <w:style w:type="character" w:customStyle="1" w:styleId="44">
    <w:name w:val="批注主题 字符"/>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link w:val="120"/>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0"/>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列表段落 字符"/>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修订2"/>
    <w:hidden/>
    <w:semiHidden/>
    <w:qFormat/>
    <w:uiPriority w:val="99"/>
    <w:rPr>
      <w:rFonts w:ascii="Times New Roman" w:hAnsi="Times New Roman" w:eastAsia="宋体" w:cs="Times New Roman"/>
      <w:sz w:val="24"/>
      <w:szCs w:val="24"/>
      <w:lang w:val="en-US" w:eastAsia="zh-CN" w:bidi="ar-SA"/>
    </w:rPr>
  </w:style>
  <w:style w:type="table" w:customStyle="1" w:styleId="118">
    <w:name w:val="Table Normal1"/>
    <w:basedOn w:val="23"/>
    <w:semiHidden/>
    <w:qFormat/>
    <w:uiPriority w:val="0"/>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0">
    <w:name w:val="TAC Char"/>
    <w:link w:val="60"/>
    <w:qFormat/>
    <w:uiPriority w:val="0"/>
    <w:rPr>
      <w:rFonts w:ascii="Arial" w:hAnsi="Arial"/>
      <w:sz w:val="18"/>
      <w:lang w:val="en-GB" w:eastAsia="en-US"/>
    </w:rPr>
  </w:style>
  <w:style w:type="character" w:customStyle="1" w:styleId="121">
    <w:name w:val="0 Main text Char"/>
    <w:link w:val="122"/>
    <w:qFormat/>
    <w:locked/>
    <w:uiPriority w:val="0"/>
    <w:rPr>
      <w:lang w:val="en-GB" w:eastAsia="en-US"/>
    </w:rPr>
  </w:style>
  <w:style w:type="paragraph" w:customStyle="1" w:styleId="122">
    <w:name w:val="0 Main text"/>
    <w:basedOn w:val="1"/>
    <w:link w:val="121"/>
    <w:qFormat/>
    <w:uiPriority w:val="0"/>
    <w:pPr>
      <w:jc w:val="both"/>
    </w:pPr>
    <w:rPr>
      <w:sz w:val="20"/>
      <w:szCs w:val="20"/>
      <w:lang w:val="en-GB" w:eastAsia="en-US"/>
    </w:rPr>
  </w:style>
  <w:style w:type="paragraph" w:customStyle="1" w:styleId="123">
    <w:name w:val="List Paragraph4"/>
    <w:basedOn w:val="1"/>
    <w:qFormat/>
    <w:uiPriority w:val="0"/>
    <w:pPr>
      <w:spacing w:before="100" w:beforeAutospacing="1" w:after="100" w:afterAutospacing="1"/>
      <w:ind w:left="840" w:leftChars="400"/>
    </w:pPr>
    <w:rPr>
      <w:rFonts w:ascii="Times" w:hAnsi="Times" w:eastAsia="Batan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4ADF5-B882-4893-B413-9692F73DC9F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4175</Words>
  <Characters>23798</Characters>
  <Lines>198</Lines>
  <Paragraphs>55</Paragraphs>
  <TotalTime>1</TotalTime>
  <ScaleCrop>false</ScaleCrop>
  <LinksUpToDate>false</LinksUpToDate>
  <CharactersWithSpaces>27918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2023-09-26T08:41:00Z</dcterms:created>
  <dc:creator>ZTE</dc:creator>
  <cp:lastModifiedBy>0216000817</cp:lastModifiedBy>
  <dcterms:modified xsi:type="dcterms:W3CDTF">2025-01-24T09:26:06Z</dcterms:modified>
  <cp:revision>1073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B9615361338D47508B63CE75DD2C3BA0</vt:lpwstr>
  </property>
</Properties>
</file>